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36" w:rsidRDefault="000C6836" w:rsidP="0032442D">
      <w:pPr>
        <w:widowControl w:val="0"/>
        <w:spacing w:before="120"/>
        <w:ind w:firstLine="720"/>
        <w:jc w:val="mediumKashida"/>
        <w:rPr>
          <w:rFonts w:hint="cs"/>
          <w:rtl/>
          <w:lang w:bidi="ar-IQ"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jc w:val="center"/>
        <w:rPr>
          <w:rtl/>
        </w:rPr>
      </w:pPr>
      <w:r>
        <w:rPr>
          <w:snapToGrid w:val="0"/>
          <w:sz w:val="96"/>
        </w:rPr>
        <w:sym w:font="AGA Arabesque Desktop" w:char="F024"/>
      </w:r>
      <w:r>
        <w:rPr>
          <w:snapToGrid w:val="0"/>
          <w:sz w:val="96"/>
        </w:rPr>
        <w:sym w:font="AGA Arabesque Desktop" w:char="F02B"/>
      </w:r>
    </w:p>
    <w:p w:rsidR="000C6836" w:rsidRDefault="000C6836" w:rsidP="0032442D">
      <w:pPr>
        <w:pStyle w:val="Heading1"/>
        <w:keepNext w:val="0"/>
        <w:rPr>
          <w:rtl/>
        </w:rPr>
      </w:pPr>
      <w:r>
        <w:rPr>
          <w:rtl/>
        </w:rPr>
        <w:t>جهود المفسرين في القرن الثالث</w:t>
      </w:r>
    </w:p>
    <w:p w:rsidR="000C6836" w:rsidRDefault="000C6836" w:rsidP="0032442D">
      <w:pPr>
        <w:widowControl w:val="0"/>
        <w:spacing w:before="120"/>
        <w:jc w:val="center"/>
        <w:rPr>
          <w:b/>
          <w:bCs/>
          <w:rtl/>
        </w:rPr>
      </w:pPr>
      <w:r>
        <w:rPr>
          <w:b/>
          <w:bCs/>
          <w:rtl/>
        </w:rPr>
        <w:t>وفيه ثلاثة مباحث :</w:t>
      </w: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>المَبْحَث الأَوْل : النشاط الفكري العام وأثره في تفسير القرآن</w:t>
      </w:r>
    </w:p>
    <w:p w:rsidR="000C6836" w:rsidRDefault="000C6836" w:rsidP="0032442D">
      <w:pPr>
        <w:pStyle w:val="Heading2"/>
        <w:keepNext w:val="0"/>
        <w:rPr>
          <w:rtl/>
        </w:rPr>
      </w:pPr>
      <w:r>
        <w:rPr>
          <w:rtl/>
        </w:rPr>
        <w:t>المَبْحَث الثَّانِي : أبرز المفسرين العراقيين في هذا القرن</w:t>
      </w:r>
    </w:p>
    <w:p w:rsidR="000C6836" w:rsidRDefault="000C6836" w:rsidP="0032442D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>المَبْحَث الثَّالِث : دراسة أبرز التفاسير</w:t>
      </w: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Fonts w:hint="cs"/>
          <w:rtl/>
        </w:rPr>
      </w:pPr>
    </w:p>
    <w:p w:rsidR="00FF610A" w:rsidRDefault="00FF610A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ind w:firstLine="720"/>
        <w:jc w:val="mediumKashida"/>
        <w:rPr>
          <w:rtl/>
        </w:rPr>
      </w:pPr>
    </w:p>
    <w:p w:rsidR="000C6836" w:rsidRDefault="000C6836" w:rsidP="0032442D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lastRenderedPageBreak/>
        <w:t xml:space="preserve">المَبْحَث الأَوْل </w:t>
      </w:r>
    </w:p>
    <w:p w:rsidR="000C6836" w:rsidRDefault="000C6836" w:rsidP="0032442D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t xml:space="preserve">النشاط الفكري العام </w:t>
      </w:r>
    </w:p>
    <w:p w:rsidR="000C6836" w:rsidRDefault="000C6836" w:rsidP="0032442D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t>وأثره في تفسير القرآن</w:t>
      </w:r>
    </w:p>
    <w:p w:rsidR="00D80F22" w:rsidRDefault="0040342D" w:rsidP="0032442D">
      <w:pPr>
        <w:widowControl w:val="0"/>
        <w:spacing w:before="120"/>
        <w:jc w:val="mediumKashida"/>
        <w:rPr>
          <w:b/>
          <w:bCs/>
          <w:rtl/>
        </w:rPr>
      </w:pPr>
      <w:r>
        <w:rPr>
          <w:rFonts w:hint="cs"/>
          <w:b/>
          <w:bCs/>
          <w:rtl/>
        </w:rPr>
        <w:t>أولاً ـ النشاط الفكري العام :</w:t>
      </w:r>
    </w:p>
    <w:p w:rsidR="0040342D" w:rsidRDefault="00F40DC7" w:rsidP="0032442D">
      <w:pPr>
        <w:widowControl w:val="0"/>
        <w:spacing w:before="120"/>
        <w:ind w:firstLine="720"/>
        <w:jc w:val="mediumKashida"/>
        <w:rPr>
          <w:rtl/>
        </w:rPr>
      </w:pPr>
      <w:r w:rsidRPr="00F40DC7">
        <w:rPr>
          <w:rFonts w:hint="cs"/>
          <w:rtl/>
        </w:rPr>
        <w:t xml:space="preserve">تقدم في الفصل السابق </w:t>
      </w:r>
      <w:r w:rsidR="00001E6E">
        <w:rPr>
          <w:rFonts w:hint="cs"/>
          <w:rtl/>
        </w:rPr>
        <w:t xml:space="preserve">بيان تطور الحركة الفكرية </w:t>
      </w:r>
      <w:r w:rsidR="008F4A37">
        <w:rPr>
          <w:rFonts w:hint="cs"/>
          <w:rtl/>
        </w:rPr>
        <w:t xml:space="preserve">على وجه العموم في القرن الثاني ، </w:t>
      </w:r>
      <w:r w:rsidR="00CF180F">
        <w:rPr>
          <w:rFonts w:hint="cs"/>
          <w:rtl/>
        </w:rPr>
        <w:t xml:space="preserve">وظهور علوم ومعارف ومؤلفات غير مسبوقة ، وشهد هذا القرن </w:t>
      </w:r>
      <w:r w:rsidR="00170907">
        <w:rPr>
          <w:rFonts w:hint="cs"/>
          <w:rtl/>
        </w:rPr>
        <w:t xml:space="preserve">تصاعد وتائر التطور الفكري وتنوعه </w:t>
      </w:r>
      <w:r w:rsidR="00E91603">
        <w:rPr>
          <w:rFonts w:hint="cs"/>
          <w:rtl/>
        </w:rPr>
        <w:t xml:space="preserve">، </w:t>
      </w:r>
      <w:r w:rsidR="00A61322">
        <w:rPr>
          <w:rFonts w:hint="cs"/>
          <w:rtl/>
        </w:rPr>
        <w:t>ويمكن إجمال أبرز مظاهر التطور الفكري في هذا القرن بما يأتي :</w:t>
      </w:r>
    </w:p>
    <w:p w:rsidR="003D7545" w:rsidRDefault="007C722C" w:rsidP="009C152B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 xml:space="preserve">شهد هذا العصر </w:t>
      </w:r>
      <w:r w:rsidR="00AB57C1">
        <w:rPr>
          <w:rFonts w:hint="cs"/>
          <w:rtl/>
        </w:rPr>
        <w:t xml:space="preserve">تطور حركة الترجمة والنشر ، فنقلت إِلى العربية جملة كبيرة من معارف الأمم الأخرى ، </w:t>
      </w:r>
      <w:r w:rsidR="00CB7E13">
        <w:rPr>
          <w:rFonts w:hint="cs"/>
          <w:rtl/>
        </w:rPr>
        <w:t xml:space="preserve">فترجمت كتب الفلسفة اليونانية بجميع </w:t>
      </w:r>
      <w:r w:rsidR="00495DE4">
        <w:rPr>
          <w:rFonts w:hint="cs"/>
          <w:rtl/>
        </w:rPr>
        <w:t xml:space="preserve">فروعها من طب ، ومنطق ، وطبيعة ، وكيمياء ، ونجوم ، ورياضة ، وترجمت كتب الرياضة الهندية والتنجيم الهندي ، وتاريخ الأمم الفارسية واليونانية والرومانية وغيرهم ، وكذا كتب الإلهيات اليونانية </w:t>
      </w:r>
      <w:r w:rsidR="00A446F0">
        <w:rPr>
          <w:rFonts w:hint="cs"/>
          <w:rtl/>
        </w:rPr>
        <w:t xml:space="preserve">إِلى جانب الديانات الأخرى اليهودية والنصرانية والمجوسية ، </w:t>
      </w:r>
      <w:r w:rsidR="009C152B">
        <w:rPr>
          <w:rFonts w:hint="cs"/>
          <w:rtl/>
        </w:rPr>
        <w:t>م</w:t>
      </w:r>
      <w:r w:rsidR="00A446F0">
        <w:rPr>
          <w:rFonts w:hint="cs"/>
          <w:rtl/>
        </w:rPr>
        <w:t xml:space="preserve">ما أدى هذا إِلى توسع حركة الجدل يبن أتباع هذه الديانات ، مما أدى إِلى توسع المباحث الكلامية توسعاً كبيراً </w:t>
      </w:r>
      <w:r w:rsidR="00B13E08">
        <w:rPr>
          <w:rFonts w:hint="cs"/>
          <w:rtl/>
        </w:rPr>
        <w:t xml:space="preserve">تركت آثارها الواضحة في علوم التفسير والحديث والتشريع ، وكذا شيوع المصطلحات الفلسفية والمنطقية ، ومع حداثة هذه الظاهرة إلا أنها كانت متساوقة مع </w:t>
      </w:r>
      <w:r w:rsidR="001A75B9">
        <w:rPr>
          <w:rFonts w:hint="cs"/>
          <w:rtl/>
        </w:rPr>
        <w:t>التكور الفكري الذي شهده المجتمع العباسي</w:t>
      </w:r>
      <w:r w:rsidR="00EB2BD4">
        <w:rPr>
          <w:vertAlign w:val="superscript"/>
          <w:rtl/>
        </w:rPr>
        <w:t xml:space="preserve">( </w:t>
      </w:r>
      <w:r w:rsidR="00EB2BD4">
        <w:rPr>
          <w:rStyle w:val="FootnoteReference"/>
          <w:rtl/>
        </w:rPr>
        <w:footnoteReference w:id="2"/>
      </w:r>
      <w:r w:rsidR="00EB2BD4">
        <w:rPr>
          <w:vertAlign w:val="superscript"/>
          <w:rtl/>
        </w:rPr>
        <w:t xml:space="preserve"> )</w:t>
      </w:r>
      <w:r w:rsidR="001A75B9">
        <w:rPr>
          <w:rFonts w:hint="cs"/>
          <w:rtl/>
        </w:rPr>
        <w:t xml:space="preserve"> .</w:t>
      </w:r>
    </w:p>
    <w:p w:rsidR="009B3836" w:rsidRDefault="00B61EDB" w:rsidP="0032442D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 w:rsidRPr="00292616">
        <w:rPr>
          <w:rFonts w:ascii="Simplified Arabic" w:hint="cs"/>
          <w:rtl/>
          <w:lang w:bidi="ar-IQ"/>
        </w:rPr>
        <w:t xml:space="preserve">فمن المعارف والعلوم المبتكرة في </w:t>
      </w:r>
      <w:r w:rsidR="009B3836" w:rsidRPr="00292616">
        <w:rPr>
          <w:rFonts w:ascii="Simplified Arabic" w:hint="eastAsia"/>
          <w:rtl/>
          <w:lang w:bidi="ar-IQ"/>
        </w:rPr>
        <w:t>القرن</w:t>
      </w:r>
      <w:r w:rsidR="009B3836" w:rsidRPr="00292616">
        <w:rPr>
          <w:rFonts w:ascii="Simplified Arabic"/>
          <w:rtl/>
          <w:lang w:bidi="ar-IQ"/>
        </w:rPr>
        <w:t xml:space="preserve"> </w:t>
      </w:r>
      <w:r w:rsidR="009B3836" w:rsidRPr="00292616">
        <w:rPr>
          <w:rFonts w:ascii="Simplified Arabic" w:hint="eastAsia"/>
          <w:rtl/>
          <w:lang w:bidi="ar-IQ"/>
        </w:rPr>
        <w:t>الثالث</w:t>
      </w:r>
      <w:r w:rsidR="009B3836" w:rsidRPr="00292616">
        <w:rPr>
          <w:rFonts w:ascii="Simplified Arabic"/>
          <w:rtl/>
          <w:lang w:bidi="ar-IQ"/>
        </w:rPr>
        <w:t xml:space="preserve"> </w:t>
      </w:r>
      <w:r w:rsidR="009B3836" w:rsidRPr="00292616">
        <w:rPr>
          <w:rFonts w:ascii="Simplified Arabic" w:hint="eastAsia"/>
          <w:rtl/>
          <w:lang w:bidi="ar-IQ"/>
        </w:rPr>
        <w:t>الهجري</w:t>
      </w:r>
      <w:r w:rsidR="009B3836" w:rsidRPr="00292616">
        <w:rPr>
          <w:rFonts w:ascii="Simplified Arabic"/>
          <w:rtl/>
          <w:lang w:bidi="ar-IQ"/>
        </w:rPr>
        <w:t xml:space="preserve"> </w:t>
      </w:r>
      <w:r w:rsidRPr="00292616">
        <w:rPr>
          <w:rFonts w:ascii="Simplified Arabic" w:hint="cs"/>
          <w:rtl/>
          <w:lang w:bidi="ar-IQ"/>
        </w:rPr>
        <w:t xml:space="preserve">كتاب </w:t>
      </w:r>
      <w:r w:rsidR="003D7545" w:rsidRPr="00292616">
        <w:rPr>
          <w:rFonts w:ascii="Simplified Arabic" w:hint="eastAsia"/>
          <w:rtl/>
          <w:lang w:bidi="ar-IQ"/>
        </w:rPr>
        <w:t>أحمد</w:t>
      </w:r>
      <w:r w:rsidR="003D7545" w:rsidRPr="00292616">
        <w:rPr>
          <w:rFonts w:ascii="Simplified Arabic"/>
          <w:rtl/>
          <w:lang w:bidi="ar-IQ"/>
        </w:rPr>
        <w:t xml:space="preserve"> </w:t>
      </w:r>
      <w:r w:rsidR="003D7545" w:rsidRPr="00292616">
        <w:rPr>
          <w:rFonts w:ascii="Simplified Arabic" w:hint="eastAsia"/>
          <w:rtl/>
          <w:lang w:bidi="ar-IQ"/>
        </w:rPr>
        <w:t>بن</w:t>
      </w:r>
      <w:r w:rsidR="003D7545" w:rsidRPr="00292616">
        <w:rPr>
          <w:rFonts w:ascii="Simplified Arabic"/>
          <w:rtl/>
          <w:lang w:bidi="ar-IQ"/>
        </w:rPr>
        <w:t xml:space="preserve"> </w:t>
      </w:r>
      <w:r w:rsidR="003D7545" w:rsidRPr="00292616">
        <w:rPr>
          <w:rFonts w:ascii="Simplified Arabic" w:hint="eastAsia"/>
          <w:rtl/>
          <w:lang w:bidi="ar-IQ"/>
        </w:rPr>
        <w:t>داود</w:t>
      </w:r>
      <w:r w:rsidR="003D7545" w:rsidRPr="00292616">
        <w:rPr>
          <w:rFonts w:ascii="Simplified Arabic"/>
          <w:rtl/>
          <w:lang w:bidi="ar-IQ"/>
        </w:rPr>
        <w:t xml:space="preserve"> </w:t>
      </w:r>
      <w:r w:rsidR="003D7545" w:rsidRPr="00292616">
        <w:rPr>
          <w:rFonts w:ascii="Simplified Arabic" w:hint="eastAsia"/>
          <w:rtl/>
          <w:lang w:bidi="ar-IQ"/>
        </w:rPr>
        <w:t>أبو</w:t>
      </w:r>
      <w:r w:rsidR="003D7545" w:rsidRPr="00292616">
        <w:rPr>
          <w:rFonts w:ascii="Simplified Arabic"/>
          <w:rtl/>
          <w:lang w:bidi="ar-IQ"/>
        </w:rPr>
        <w:t xml:space="preserve"> </w:t>
      </w:r>
      <w:r w:rsidR="003D7545" w:rsidRPr="00292616">
        <w:rPr>
          <w:rFonts w:ascii="Simplified Arabic" w:hint="eastAsia"/>
          <w:rtl/>
          <w:lang w:bidi="ar-IQ"/>
        </w:rPr>
        <w:t>حنيفة</w:t>
      </w:r>
      <w:r w:rsidR="003D7545" w:rsidRPr="00292616">
        <w:rPr>
          <w:rFonts w:ascii="Simplified Arabic"/>
          <w:rtl/>
          <w:lang w:bidi="ar-IQ"/>
        </w:rPr>
        <w:t xml:space="preserve"> </w:t>
      </w:r>
      <w:r w:rsidR="003D7545" w:rsidRPr="00292616">
        <w:rPr>
          <w:rFonts w:ascii="Simplified Arabic" w:hint="eastAsia"/>
          <w:rtl/>
          <w:lang w:bidi="ar-IQ"/>
        </w:rPr>
        <w:t>الدينوري</w:t>
      </w:r>
      <w:r w:rsidR="003D7545" w:rsidRPr="00292616">
        <w:rPr>
          <w:rFonts w:ascii="Simplified Arabic" w:hint="cs"/>
          <w:rtl/>
          <w:lang w:bidi="ar-IQ"/>
        </w:rPr>
        <w:t xml:space="preserve"> ( ت 282 هـ ) </w:t>
      </w:r>
      <w:r>
        <w:rPr>
          <w:rFonts w:ascii="Simplified Arabic" w:hint="cs"/>
          <w:color w:val="000000"/>
          <w:rtl/>
          <w:lang w:bidi="ar-IQ"/>
        </w:rPr>
        <w:t xml:space="preserve">الذي ألف </w:t>
      </w:r>
      <w:r w:rsidR="009B3836">
        <w:rPr>
          <w:rFonts w:ascii="Simplified Arabic" w:hint="eastAsia"/>
          <w:color w:val="000000"/>
          <w:rtl/>
          <w:lang w:bidi="ar-IQ"/>
        </w:rPr>
        <w:t>موسوعة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نباتية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حوالي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ستة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أجزاء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أربعة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منها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موضوع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النبات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عامة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واثنان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أسماء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النباتات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مرتبة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على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حروف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المعجم</w:t>
      </w:r>
      <w:r w:rsidR="009B3836">
        <w:rPr>
          <w:rFonts w:ascii="Simplified Arabic"/>
          <w:color w:val="000000"/>
          <w:rtl/>
          <w:lang w:bidi="ar-IQ"/>
        </w:rPr>
        <w:t xml:space="preserve">. </w:t>
      </w:r>
      <w:r w:rsidR="009B3836">
        <w:rPr>
          <w:rFonts w:ascii="Simplified Arabic" w:hint="eastAsia"/>
          <w:color w:val="000000"/>
          <w:rtl/>
          <w:lang w:bidi="ar-IQ"/>
        </w:rPr>
        <w:t>وقد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أجاد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أبو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حنيفة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lastRenderedPageBreak/>
        <w:t>وصف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النباتات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وكذلك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ترتيب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الأسماء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النباتية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وفق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الحروف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الهجائية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غير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أن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هذا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الكتاب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لم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يصل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إلينا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كاملاً</w:t>
      </w:r>
      <w:r w:rsidR="009B3836">
        <w:rPr>
          <w:rFonts w:ascii="Simplified Arabic"/>
          <w:color w:val="000000"/>
          <w:rtl/>
          <w:lang w:bidi="ar-IQ"/>
        </w:rPr>
        <w:t xml:space="preserve"> . </w:t>
      </w:r>
      <w:r w:rsidR="009B3836">
        <w:rPr>
          <w:rFonts w:ascii="Simplified Arabic" w:hint="eastAsia"/>
          <w:color w:val="000000"/>
          <w:rtl/>
          <w:lang w:bidi="ar-IQ"/>
        </w:rPr>
        <w:t>وقد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بين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بعض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الباحثين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جهود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علماء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العربية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القدماء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في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هذا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الجانب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بما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يغني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عن</w:t>
      </w:r>
      <w:r w:rsidR="009B3836">
        <w:rPr>
          <w:rFonts w:ascii="Simplified Arabic"/>
          <w:color w:val="000000"/>
          <w:rtl/>
          <w:lang w:bidi="ar-IQ"/>
        </w:rPr>
        <w:t xml:space="preserve"> </w:t>
      </w:r>
      <w:r w:rsidR="009B3836">
        <w:rPr>
          <w:rFonts w:ascii="Simplified Arabic" w:hint="eastAsia"/>
          <w:color w:val="000000"/>
          <w:rtl/>
          <w:lang w:bidi="ar-IQ"/>
        </w:rPr>
        <w:t>إعادته</w:t>
      </w:r>
      <w:r w:rsidR="0010592B">
        <w:rPr>
          <w:vertAlign w:val="superscript"/>
          <w:rtl/>
        </w:rPr>
        <w:t xml:space="preserve">( </w:t>
      </w:r>
      <w:r w:rsidR="0010592B">
        <w:rPr>
          <w:rStyle w:val="FootnoteReference"/>
          <w:rtl/>
        </w:rPr>
        <w:footnoteReference w:id="3"/>
      </w:r>
      <w:r w:rsidR="0010592B">
        <w:rPr>
          <w:vertAlign w:val="superscript"/>
          <w:rtl/>
        </w:rPr>
        <w:t xml:space="preserve"> )</w:t>
      </w:r>
      <w:r w:rsidR="009B3836">
        <w:rPr>
          <w:rFonts w:ascii="Simplified Arabic"/>
          <w:color w:val="000000"/>
          <w:rtl/>
          <w:lang w:bidi="ar-IQ"/>
        </w:rPr>
        <w:t xml:space="preserve"> .</w:t>
      </w:r>
    </w:p>
    <w:p w:rsidR="0054572A" w:rsidRDefault="00292616" w:rsidP="0032442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hint="cs"/>
          <w:rtl/>
        </w:rPr>
        <w:t>و</w:t>
      </w:r>
      <w:r w:rsidR="001C4DD7">
        <w:rPr>
          <w:rFonts w:hint="cs"/>
          <w:rtl/>
        </w:rPr>
        <w:t xml:space="preserve">شهد هذا العصر انحسار </w:t>
      </w:r>
      <w:r w:rsidR="00997EE4">
        <w:rPr>
          <w:rFonts w:hint="cs"/>
          <w:rtl/>
        </w:rPr>
        <w:t xml:space="preserve">موجة الاعتزال التي استفحلت في القرن الماضي </w:t>
      </w:r>
      <w:r w:rsidR="0054622B">
        <w:rPr>
          <w:rFonts w:ascii="Simplified Arabic" w:hint="cs"/>
          <w:color w:val="000000"/>
          <w:rtl/>
          <w:lang w:bidi="ar-IQ"/>
        </w:rPr>
        <w:t xml:space="preserve">على يد المتوكل ( ت 247 هـ ) </w:t>
      </w:r>
      <w:r w:rsidR="00D16C92">
        <w:rPr>
          <w:rFonts w:ascii="Simplified Arabic" w:hint="cs"/>
          <w:color w:val="000000"/>
          <w:rtl/>
          <w:lang w:bidi="ar-IQ"/>
        </w:rPr>
        <w:t xml:space="preserve">، وارتفاع شأن علماء الحديث الذين أصابهم الظلم </w:t>
      </w:r>
      <w:r w:rsidR="006B5EA7">
        <w:rPr>
          <w:rFonts w:ascii="Simplified Arabic" w:hint="cs"/>
          <w:color w:val="000000"/>
          <w:rtl/>
          <w:lang w:bidi="ar-IQ"/>
        </w:rPr>
        <w:t xml:space="preserve">والاضطهاد </w:t>
      </w:r>
      <w:r w:rsidR="00D16C92" w:rsidRPr="0054572A">
        <w:rPr>
          <w:rFonts w:ascii="Simplified Arabic" w:hint="eastAsia"/>
          <w:rtl/>
          <w:lang w:bidi="ar-IQ"/>
        </w:rPr>
        <w:t>على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أيدي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المعتزلة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بسبب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امتحانهم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القول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بخلق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القرآن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ولاقوا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صنوف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العنت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والهوان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،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وما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تعذيب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الإمام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أحمد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حنبل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ومحمد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نوح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زمن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المأمون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بسبب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إصرارهما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القول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بأن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القرآن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كلام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الله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لا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نزيد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ذلك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شيئاً</w:t>
      </w:r>
      <w:r w:rsidR="0054572A">
        <w:rPr>
          <w:vertAlign w:val="superscript"/>
          <w:rtl/>
        </w:rPr>
        <w:t xml:space="preserve">( </w:t>
      </w:r>
      <w:r w:rsidR="0054572A">
        <w:rPr>
          <w:rStyle w:val="FootnoteReference"/>
          <w:rtl/>
        </w:rPr>
        <w:footnoteReference w:id="4"/>
      </w:r>
      <w:r w:rsidR="0054572A">
        <w:rPr>
          <w:vertAlign w:val="superscript"/>
          <w:rtl/>
        </w:rPr>
        <w:t xml:space="preserve"> )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54572A">
        <w:rPr>
          <w:rFonts w:ascii="Simplified Arabic" w:hint="cs"/>
          <w:rtl/>
          <w:lang w:bidi="ar-IQ"/>
        </w:rPr>
        <w:t xml:space="preserve">، </w:t>
      </w:r>
      <w:r w:rsidR="00D16C92" w:rsidRPr="0054572A">
        <w:rPr>
          <w:rFonts w:ascii="Simplified Arabic" w:hint="eastAsia"/>
          <w:rtl/>
          <w:lang w:bidi="ar-IQ"/>
        </w:rPr>
        <w:t>إلا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مظهر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مظاهر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هذا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الاضطهاد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54572A">
        <w:rPr>
          <w:rFonts w:ascii="Simplified Arabic" w:hint="cs"/>
          <w:rtl/>
          <w:lang w:bidi="ar-IQ"/>
        </w:rPr>
        <w:t xml:space="preserve">، </w:t>
      </w:r>
      <w:r w:rsidR="00D16C92" w:rsidRPr="0054572A">
        <w:rPr>
          <w:rFonts w:ascii="Simplified Arabic" w:hint="eastAsia"/>
          <w:rtl/>
          <w:lang w:bidi="ar-IQ"/>
        </w:rPr>
        <w:t>فلما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أزيحت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محنة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القول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بخلق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القرآن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عهد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المتوكل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أخذ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رد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الفعل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مجراه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الطبيعي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،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وزاد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تعصب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أهل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الحديث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وخصومتهم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للمعتزلة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خاصة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ولأهل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الرأي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عامة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بسبب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عون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بعض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أهل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الرأي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للمعتزلة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تعضيد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آرائهم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،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وحمل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الناس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على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اعتناقها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قبل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الولاة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والحكام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كانوا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يميلون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إلى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أبي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حنيفة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وأصحابه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أمور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الفقه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،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وقد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استفحلت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هذه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الخصومة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بعد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رفع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المحنة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زمن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المتوكل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،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وانقلب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الاضطهاد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إلى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العكس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واندفع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أهل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الحديث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التعصب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والوقيعة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خصومهم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من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المعتزلة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وأهل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الرأي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وفي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أئمتهم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السابقين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أبي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t>حنيفة</w:t>
      </w:r>
      <w:r w:rsidR="00D16C92" w:rsidRPr="0054572A">
        <w:rPr>
          <w:rFonts w:ascii="Simplified Arabic"/>
          <w:rtl/>
          <w:lang w:bidi="ar-IQ"/>
        </w:rPr>
        <w:t xml:space="preserve"> </w:t>
      </w:r>
      <w:r w:rsidR="00D16C92" w:rsidRPr="0054572A">
        <w:rPr>
          <w:rFonts w:ascii="Simplified Arabic" w:hint="eastAsia"/>
          <w:rtl/>
          <w:lang w:bidi="ar-IQ"/>
        </w:rPr>
        <w:lastRenderedPageBreak/>
        <w:t>وأصحابه</w:t>
      </w:r>
      <w:r w:rsidR="0054572A">
        <w:rPr>
          <w:vertAlign w:val="superscript"/>
          <w:rtl/>
        </w:rPr>
        <w:t xml:space="preserve">( </w:t>
      </w:r>
      <w:r w:rsidR="0054572A">
        <w:rPr>
          <w:rStyle w:val="FootnoteReference"/>
          <w:rtl/>
        </w:rPr>
        <w:footnoteReference w:id="5"/>
      </w:r>
      <w:r w:rsidR="0054572A">
        <w:rPr>
          <w:vertAlign w:val="superscript"/>
          <w:rtl/>
        </w:rPr>
        <w:t xml:space="preserve"> )</w:t>
      </w:r>
      <w:r w:rsidR="0054572A">
        <w:rPr>
          <w:rFonts w:ascii="Simplified Arabic" w:hint="cs"/>
          <w:rtl/>
          <w:lang w:bidi="ar-IQ"/>
        </w:rPr>
        <w:t xml:space="preserve"> .</w:t>
      </w:r>
    </w:p>
    <w:p w:rsidR="0054572A" w:rsidRDefault="00D16C92" w:rsidP="0032442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 w:rsidRPr="0054572A">
        <w:rPr>
          <w:rFonts w:ascii="Simplified Arabic" w:hint="eastAsia"/>
          <w:rtl/>
          <w:lang w:bidi="ar-IQ"/>
        </w:rPr>
        <w:t>واتهموهم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بشتى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التهم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الشنيعة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كالكذب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على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رسول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الله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ـ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صلى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الله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عليه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وسلم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ـ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أو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ضعف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الحديث</w:t>
      </w:r>
      <w:r w:rsidRPr="0054572A">
        <w:rPr>
          <w:rFonts w:ascii="Simplified Arabic"/>
          <w:rtl/>
          <w:lang w:bidi="ar-IQ"/>
        </w:rPr>
        <w:t xml:space="preserve"> </w:t>
      </w:r>
      <w:r w:rsidR="0054572A">
        <w:rPr>
          <w:rFonts w:ascii="Simplified Arabic" w:hint="cs"/>
          <w:rtl/>
          <w:lang w:bidi="ar-IQ"/>
        </w:rPr>
        <w:t xml:space="preserve">، </w:t>
      </w:r>
      <w:r w:rsidRPr="0054572A">
        <w:rPr>
          <w:rFonts w:ascii="Simplified Arabic" w:hint="eastAsia"/>
          <w:rtl/>
          <w:lang w:bidi="ar-IQ"/>
        </w:rPr>
        <w:t>أو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الإرجاء</w:t>
      </w:r>
      <w:r w:rsidR="0054572A">
        <w:rPr>
          <w:vertAlign w:val="superscript"/>
          <w:rtl/>
        </w:rPr>
        <w:t xml:space="preserve">( </w:t>
      </w:r>
      <w:r w:rsidR="0054572A">
        <w:rPr>
          <w:rStyle w:val="FootnoteReference"/>
          <w:rtl/>
        </w:rPr>
        <w:footnoteReference w:id="6"/>
      </w:r>
      <w:r w:rsidR="0054572A">
        <w:rPr>
          <w:vertAlign w:val="superscript"/>
          <w:rtl/>
        </w:rPr>
        <w:t xml:space="preserve"> )</w:t>
      </w:r>
      <w:r w:rsidR="0054572A">
        <w:rPr>
          <w:rFonts w:ascii="Simplified Arabic" w:hint="cs"/>
          <w:rtl/>
          <w:lang w:bidi="ar-IQ"/>
        </w:rPr>
        <w:t xml:space="preserve"> .</w:t>
      </w:r>
    </w:p>
    <w:p w:rsidR="00D40545" w:rsidRDefault="00D16C92" w:rsidP="0032442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 w:rsidRPr="0054572A">
        <w:rPr>
          <w:rFonts w:ascii="Simplified Arabic" w:hint="eastAsia"/>
          <w:rtl/>
          <w:lang w:bidi="ar-IQ"/>
        </w:rPr>
        <w:t>وفي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هذا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يقول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الأستاذ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أمين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الخولي</w:t>
      </w:r>
      <w:r w:rsidRPr="0054572A">
        <w:rPr>
          <w:rFonts w:ascii="Simplified Arabic"/>
          <w:rtl/>
          <w:lang w:bidi="ar-IQ"/>
        </w:rPr>
        <w:t xml:space="preserve"> : " </w:t>
      </w:r>
      <w:r w:rsidRPr="0054572A">
        <w:rPr>
          <w:rFonts w:ascii="Simplified Arabic" w:hint="eastAsia"/>
          <w:rtl/>
          <w:lang w:bidi="ar-IQ"/>
        </w:rPr>
        <w:t>فبامتداد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الرأي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إلى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الناحية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الاعتقادية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من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علم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الدين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،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وعدم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ملاءمة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ذلك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للإيمان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المستقر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،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انعكست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على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الرأي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ظلال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قاتمة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نفرت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منه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،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وشوهت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صورته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،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فوجهت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إليه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عبارات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الذم</w:t>
      </w:r>
      <w:r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 w:hint="eastAsia"/>
          <w:rtl/>
          <w:lang w:bidi="ar-IQ"/>
        </w:rPr>
        <w:t>والتنقص</w:t>
      </w:r>
      <w:r w:rsidRPr="0054572A">
        <w:rPr>
          <w:rFonts w:ascii="Simplified Arabic"/>
          <w:rtl/>
          <w:lang w:bidi="ar-IQ"/>
        </w:rPr>
        <w:t xml:space="preserve"> "</w:t>
      </w:r>
      <w:r w:rsidR="0054572A">
        <w:rPr>
          <w:vertAlign w:val="superscript"/>
          <w:rtl/>
        </w:rPr>
        <w:t xml:space="preserve">( </w:t>
      </w:r>
      <w:r w:rsidR="0054572A">
        <w:rPr>
          <w:rStyle w:val="FootnoteReference"/>
          <w:rtl/>
        </w:rPr>
        <w:footnoteReference w:id="7"/>
      </w:r>
      <w:r w:rsidR="0054572A">
        <w:rPr>
          <w:vertAlign w:val="superscript"/>
          <w:rtl/>
        </w:rPr>
        <w:t xml:space="preserve"> )</w:t>
      </w:r>
      <w:r w:rsidR="0054572A" w:rsidRPr="0054572A">
        <w:rPr>
          <w:rFonts w:ascii="Simplified Arabic"/>
          <w:rtl/>
          <w:lang w:bidi="ar-IQ"/>
        </w:rPr>
        <w:t xml:space="preserve"> </w:t>
      </w:r>
      <w:r w:rsidRPr="0054572A">
        <w:rPr>
          <w:rFonts w:ascii="Simplified Arabic"/>
          <w:rtl/>
          <w:lang w:bidi="ar-IQ"/>
        </w:rPr>
        <w:t>.</w:t>
      </w:r>
      <w:r w:rsidR="00D40545">
        <w:rPr>
          <w:rFonts w:ascii="Simplified Arabic" w:hint="cs"/>
          <w:rtl/>
          <w:lang w:bidi="ar-IQ"/>
        </w:rPr>
        <w:t xml:space="preserve"> </w:t>
      </w:r>
    </w:p>
    <w:p w:rsidR="00D16C92" w:rsidRPr="0054572A" w:rsidRDefault="00D40545" w:rsidP="0032442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rtl/>
          <w:lang w:bidi="ar-IQ"/>
        </w:rPr>
        <w:t xml:space="preserve">ومن هذا يظهر </w:t>
      </w:r>
      <w:r w:rsidR="00F12A73">
        <w:rPr>
          <w:rFonts w:ascii="Simplified Arabic" w:hint="cs"/>
          <w:rtl/>
          <w:lang w:bidi="ar-IQ"/>
        </w:rPr>
        <w:t xml:space="preserve">أثر الخلافات المذهبية في الحركة الفكرية سواء أكان سلباً </w:t>
      </w:r>
      <w:r w:rsidR="00292616">
        <w:rPr>
          <w:rFonts w:ascii="Simplified Arabic" w:hint="cs"/>
          <w:rtl/>
          <w:lang w:bidi="ar-IQ"/>
        </w:rPr>
        <w:t>ب</w:t>
      </w:r>
      <w:r w:rsidR="00F12A73">
        <w:rPr>
          <w:rFonts w:ascii="Simplified Arabic" w:hint="cs"/>
          <w:rtl/>
          <w:lang w:bidi="ar-IQ"/>
        </w:rPr>
        <w:t xml:space="preserve">تفريق الصف </w:t>
      </w:r>
      <w:r w:rsidR="00292616">
        <w:rPr>
          <w:rFonts w:ascii="Simplified Arabic" w:hint="cs"/>
          <w:rtl/>
          <w:lang w:bidi="ar-IQ"/>
        </w:rPr>
        <w:t xml:space="preserve">، </w:t>
      </w:r>
      <w:r w:rsidR="00F12A73">
        <w:rPr>
          <w:rFonts w:ascii="Simplified Arabic" w:hint="cs"/>
          <w:rtl/>
          <w:lang w:bidi="ar-IQ"/>
        </w:rPr>
        <w:t>أم إيجاباً بتشجيع حركة التأليف .</w:t>
      </w:r>
    </w:p>
    <w:p w:rsidR="007D393D" w:rsidRDefault="00273C2E" w:rsidP="0032442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ومن العلامات البارزة في هذا القرن ظهور </w:t>
      </w:r>
      <w:r w:rsidR="007D393D">
        <w:rPr>
          <w:rFonts w:ascii="Simplified Arabic" w:hint="eastAsia"/>
          <w:color w:val="000000"/>
          <w:rtl/>
          <w:lang w:bidi="ar-IQ"/>
        </w:rPr>
        <w:t>المدارس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وانتشارها </w:t>
      </w:r>
      <w:r w:rsidR="007D393D">
        <w:rPr>
          <w:rFonts w:ascii="Simplified Arabic" w:hint="cs"/>
          <w:color w:val="000000"/>
          <w:rtl/>
          <w:lang w:bidi="ar-IQ"/>
        </w:rPr>
        <w:t xml:space="preserve">، </w:t>
      </w:r>
      <w:r w:rsidR="007D393D">
        <w:rPr>
          <w:rFonts w:ascii="Simplified Arabic" w:hint="eastAsia"/>
          <w:color w:val="000000"/>
          <w:rtl/>
          <w:lang w:bidi="ar-IQ"/>
        </w:rPr>
        <w:t>فقد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عرفت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بغداد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المدارس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الخاصة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بالفقه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cs"/>
          <w:color w:val="000000"/>
          <w:rtl/>
          <w:lang w:bidi="ar-IQ"/>
        </w:rPr>
        <w:t>أ</w:t>
      </w:r>
      <w:r w:rsidR="007D393D">
        <w:rPr>
          <w:rFonts w:ascii="Simplified Arabic" w:hint="eastAsia"/>
          <w:color w:val="000000"/>
          <w:rtl/>
          <w:lang w:bidi="ar-IQ"/>
        </w:rPr>
        <w:t>و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علوم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القرآن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cs"/>
          <w:rtl/>
          <w:lang w:bidi="ar-IQ"/>
        </w:rPr>
        <w:t>، أ</w:t>
      </w:r>
      <w:r w:rsidR="007D393D" w:rsidRPr="00322E22">
        <w:rPr>
          <w:rFonts w:ascii="Simplified Arabic" w:hint="eastAsia"/>
          <w:rtl/>
          <w:lang w:bidi="ar-IQ"/>
        </w:rPr>
        <w:t>و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الحديث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cs"/>
          <w:rtl/>
          <w:lang w:bidi="ar-IQ"/>
        </w:rPr>
        <w:t xml:space="preserve">في </w:t>
      </w:r>
      <w:r w:rsidR="007D393D" w:rsidRPr="00322E22">
        <w:rPr>
          <w:rFonts w:ascii="Simplified Arabic" w:hint="eastAsia"/>
          <w:rtl/>
          <w:lang w:bidi="ar-IQ"/>
        </w:rPr>
        <w:t>القرن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الثالث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الهجري</w:t>
      </w:r>
      <w:r w:rsidR="007D393D" w:rsidRPr="00322E22">
        <w:rPr>
          <w:rFonts w:ascii="Simplified Arabic" w:hint="cs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،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وكانت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هذه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 w:rsidRPr="00322E22">
        <w:rPr>
          <w:rFonts w:ascii="Simplified Arabic" w:hint="eastAsia"/>
          <w:rtl/>
          <w:lang w:bidi="ar-IQ"/>
        </w:rPr>
        <w:t>المدارس</w:t>
      </w:r>
      <w:r w:rsidR="007D393D" w:rsidRPr="00322E22">
        <w:rPr>
          <w:rFonts w:ascii="Simplified Arabic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تتخذ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المساجد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مكاناً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  <w:r w:rsidR="007D393D">
        <w:rPr>
          <w:rFonts w:ascii="Simplified Arabic" w:hint="eastAsia"/>
          <w:color w:val="000000"/>
          <w:rtl/>
          <w:lang w:bidi="ar-IQ"/>
        </w:rPr>
        <w:t>لها</w:t>
      </w:r>
      <w:r w:rsidR="00322E22">
        <w:rPr>
          <w:vertAlign w:val="superscript"/>
          <w:rtl/>
        </w:rPr>
        <w:t xml:space="preserve">( </w:t>
      </w:r>
      <w:r w:rsidR="00322E22">
        <w:rPr>
          <w:rStyle w:val="FootnoteReference"/>
          <w:rtl/>
        </w:rPr>
        <w:footnoteReference w:id="8"/>
      </w:r>
      <w:r w:rsidR="00322E22">
        <w:rPr>
          <w:vertAlign w:val="superscript"/>
          <w:rtl/>
        </w:rPr>
        <w:t xml:space="preserve"> )</w:t>
      </w:r>
      <w:r w:rsidR="00322E22">
        <w:rPr>
          <w:rFonts w:ascii="Simplified Arabic" w:hint="cs"/>
          <w:color w:val="000000"/>
          <w:rtl/>
          <w:lang w:bidi="ar-IQ"/>
        </w:rPr>
        <w:t xml:space="preserve"> .</w:t>
      </w:r>
      <w:r w:rsidR="007D393D">
        <w:rPr>
          <w:rFonts w:ascii="Simplified Arabic"/>
          <w:color w:val="000000"/>
          <w:rtl/>
          <w:lang w:bidi="ar-IQ"/>
        </w:rPr>
        <w:t xml:space="preserve"> </w:t>
      </w:r>
    </w:p>
    <w:p w:rsidR="007D393D" w:rsidRDefault="00E80162" w:rsidP="0032442D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وشهد هذا القرن </w:t>
      </w:r>
      <w:r w:rsidR="004F163F">
        <w:rPr>
          <w:rFonts w:hint="cs"/>
          <w:rtl/>
          <w:lang w:bidi="ar-IQ"/>
        </w:rPr>
        <w:t xml:space="preserve">انتشار صناعة الورق وتطوره ، وأن اقتران انتشار مصانع الورق وكثرتها ورخص أثمانها ـ والذي بدأ في القرن الماضي ـ أدى إلى تطور أداوت الكتابة ، وانتشار التدوين وكثرة المؤلفات ، وهذا أدى بدوره إلى انتشار المكتبات الخاصة والعامة ، </w:t>
      </w:r>
      <w:r w:rsidR="00394B5C">
        <w:rPr>
          <w:rFonts w:hint="cs"/>
          <w:rtl/>
          <w:lang w:bidi="ar-IQ"/>
        </w:rPr>
        <w:t xml:space="preserve">وقد </w:t>
      </w:r>
      <w:r w:rsidR="00394B5C">
        <w:rPr>
          <w:rFonts w:hint="cs"/>
          <w:rtl/>
          <w:lang w:bidi="ar-IQ"/>
        </w:rPr>
        <w:lastRenderedPageBreak/>
        <w:t>ذكر اليعقوبي المؤرخ ( ت 278 هـ ) أنه كان في عصره أكثر من مائة ورّاق في بغداد ، وكان من هؤلاء الوراقين علماء مجيدون .</w:t>
      </w:r>
      <w:r w:rsidR="00EF2491">
        <w:rPr>
          <w:rFonts w:hint="cs"/>
          <w:rtl/>
          <w:lang w:bidi="ar-IQ"/>
        </w:rPr>
        <w:t xml:space="preserve"> وكان الجاحظ  ( ت 255 هـ ) </w:t>
      </w:r>
      <w:r w:rsidR="00941FA0">
        <w:rPr>
          <w:rFonts w:hint="cs"/>
          <w:rtl/>
          <w:lang w:bidi="ar-IQ"/>
        </w:rPr>
        <w:t>يكتري دكاكين الوراقين ويبيت فيها للنظر</w:t>
      </w:r>
      <w:r w:rsidR="00941FA0">
        <w:rPr>
          <w:vertAlign w:val="superscript"/>
          <w:rtl/>
        </w:rPr>
        <w:t xml:space="preserve">( </w:t>
      </w:r>
      <w:r w:rsidR="00941FA0">
        <w:rPr>
          <w:rStyle w:val="FootnoteReference"/>
          <w:rtl/>
        </w:rPr>
        <w:footnoteReference w:id="9"/>
      </w:r>
      <w:r w:rsidR="00941FA0">
        <w:rPr>
          <w:vertAlign w:val="superscript"/>
          <w:rtl/>
        </w:rPr>
        <w:t xml:space="preserve"> )</w:t>
      </w:r>
      <w:r w:rsidR="00941FA0">
        <w:rPr>
          <w:rFonts w:hint="cs"/>
          <w:rtl/>
          <w:lang w:bidi="ar-IQ"/>
        </w:rPr>
        <w:t xml:space="preserve"> .</w:t>
      </w:r>
    </w:p>
    <w:p w:rsidR="007765CE" w:rsidRDefault="007765CE" w:rsidP="0032442D">
      <w:pPr>
        <w:widowControl w:val="0"/>
        <w:spacing w:before="120"/>
        <w:jc w:val="mediumKashida"/>
        <w:rPr>
          <w:rtl/>
        </w:rPr>
      </w:pPr>
      <w:r w:rsidRPr="0017765D">
        <w:rPr>
          <w:rFonts w:hint="cs"/>
          <w:b/>
          <w:bCs/>
          <w:rtl/>
        </w:rPr>
        <w:t xml:space="preserve">ثانياً ـ جهود </w:t>
      </w:r>
      <w:r>
        <w:rPr>
          <w:rFonts w:hint="cs"/>
          <w:b/>
          <w:bCs/>
          <w:rtl/>
        </w:rPr>
        <w:t xml:space="preserve">العراقيين </w:t>
      </w:r>
      <w:r w:rsidRPr="0017765D">
        <w:rPr>
          <w:rFonts w:hint="cs"/>
          <w:b/>
          <w:bCs/>
          <w:rtl/>
        </w:rPr>
        <w:t>في علوم القرآ</w:t>
      </w:r>
      <w:r>
        <w:rPr>
          <w:rFonts w:hint="cs"/>
          <w:b/>
          <w:bCs/>
          <w:rtl/>
        </w:rPr>
        <w:t>ن</w:t>
      </w:r>
      <w:r w:rsidRPr="0017765D">
        <w:rPr>
          <w:rFonts w:hint="cs"/>
          <w:b/>
          <w:bCs/>
          <w:rtl/>
        </w:rPr>
        <w:t xml:space="preserve"> الكريم</w:t>
      </w:r>
      <w:r>
        <w:rPr>
          <w:rFonts w:hint="cs"/>
          <w:b/>
          <w:bCs/>
          <w:rtl/>
        </w:rPr>
        <w:t xml:space="preserve"> :</w:t>
      </w:r>
    </w:p>
    <w:p w:rsidR="00DD0EDD" w:rsidRPr="00F40DC7" w:rsidRDefault="00E9492D" w:rsidP="0032442D">
      <w:pPr>
        <w:widowControl w:val="0"/>
        <w:spacing w:before="120"/>
        <w:jc w:val="mediumKashida"/>
        <w:rPr>
          <w:rtl/>
        </w:rPr>
      </w:pPr>
      <w:r>
        <w:rPr>
          <w:rFonts w:hint="cs"/>
          <w:rtl/>
        </w:rPr>
        <w:t xml:space="preserve">تنامت جهود العراقيين البارزة في علوم الْقُرْآن الْكَرِيم وتفسيره في القرن الثالث كما هو الحال مع القرن الثاني ، وفيما يأتي إيجاز بهذه الجهود </w:t>
      </w:r>
      <w:r w:rsidR="006241E2">
        <w:rPr>
          <w:rFonts w:hint="cs"/>
          <w:rtl/>
        </w:rPr>
        <w:t>:</w:t>
      </w:r>
    </w:p>
    <w:p w:rsidR="000E042A" w:rsidRDefault="000E042A" w:rsidP="0032442D">
      <w:pPr>
        <w:widowControl w:val="0"/>
        <w:spacing w:before="120"/>
        <w:jc w:val="mediumKashida"/>
        <w:rPr>
          <w:rtl/>
        </w:rPr>
      </w:pPr>
      <w:r w:rsidRPr="00472FC7">
        <w:rPr>
          <w:rFonts w:hint="cs"/>
          <w:b/>
          <w:bCs/>
          <w:rtl/>
        </w:rPr>
        <w:t>1 ـ علم العدد</w:t>
      </w:r>
      <w:r>
        <w:rPr>
          <w:rFonts w:hint="cs"/>
          <w:rtl/>
        </w:rPr>
        <w:t xml:space="preserve"> :</w:t>
      </w:r>
    </w:p>
    <w:p w:rsidR="00727041" w:rsidRDefault="000E042A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أشهر المؤلفات العراقية فيه في هذا القرن </w:t>
      </w:r>
      <w:r w:rsidR="00727041">
        <w:rPr>
          <w:rFonts w:hint="cs"/>
          <w:rtl/>
        </w:rPr>
        <w:t xml:space="preserve">كتاب </w:t>
      </w:r>
      <w:r w:rsidR="00727041" w:rsidRPr="00727041">
        <w:rPr>
          <w:rtl/>
        </w:rPr>
        <w:t>عدد آي القرآن</w:t>
      </w:r>
      <w:r w:rsidR="00727041">
        <w:rPr>
          <w:rFonts w:hint="cs"/>
          <w:b/>
          <w:bCs/>
          <w:rtl/>
        </w:rPr>
        <w:t xml:space="preserve"> ، </w:t>
      </w:r>
      <w:r w:rsidR="00727041" w:rsidRPr="006D2F23">
        <w:rPr>
          <w:rtl/>
        </w:rPr>
        <w:t xml:space="preserve">لأبي عبيد القاسم بن سلام البغدادي </w:t>
      </w:r>
      <w:r w:rsidR="00727041">
        <w:rPr>
          <w:rFonts w:hint="cs"/>
          <w:rtl/>
        </w:rPr>
        <w:t xml:space="preserve">( </w:t>
      </w:r>
      <w:r w:rsidR="00727041" w:rsidRPr="006D2F23">
        <w:rPr>
          <w:rtl/>
        </w:rPr>
        <w:t>ت 224 هـ</w:t>
      </w:r>
      <w:r w:rsidR="00727041">
        <w:rPr>
          <w:rFonts w:hint="cs"/>
          <w:rtl/>
        </w:rPr>
        <w:t xml:space="preserve"> )</w:t>
      </w:r>
      <w:r w:rsidR="00727041" w:rsidRPr="00727041">
        <w:rPr>
          <w:vertAlign w:val="superscript"/>
          <w:rtl/>
        </w:rPr>
        <w:t xml:space="preserve"> </w:t>
      </w:r>
      <w:r w:rsidR="00727041">
        <w:rPr>
          <w:vertAlign w:val="superscript"/>
          <w:rtl/>
        </w:rPr>
        <w:t xml:space="preserve">( </w:t>
      </w:r>
      <w:r w:rsidR="00727041">
        <w:rPr>
          <w:rStyle w:val="FootnoteReference"/>
          <w:rtl/>
        </w:rPr>
        <w:footnoteReference w:id="10"/>
      </w:r>
      <w:r w:rsidR="00727041">
        <w:rPr>
          <w:vertAlign w:val="superscript"/>
          <w:rtl/>
        </w:rPr>
        <w:t xml:space="preserve"> )</w:t>
      </w:r>
      <w:r w:rsidR="00727041" w:rsidRPr="006D2F23">
        <w:rPr>
          <w:rtl/>
        </w:rPr>
        <w:t>.</w:t>
      </w:r>
    </w:p>
    <w:p w:rsidR="000E042A" w:rsidRDefault="008D2CFB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517288">
        <w:rPr>
          <w:rFonts w:hint="cs"/>
          <w:rtl/>
        </w:rPr>
        <w:t xml:space="preserve">كتاب العدد لمحمد بن عيسى التميمي </w:t>
      </w:r>
      <w:r w:rsidR="00CA26AF" w:rsidRPr="00C4751D">
        <w:rPr>
          <w:rFonts w:ascii="Simplified Arabic" w:hint="eastAsia"/>
          <w:rtl/>
          <w:lang w:bidi="ar-IQ"/>
        </w:rPr>
        <w:t>الأصبهاني</w:t>
      </w:r>
      <w:r w:rsidR="00CA26AF" w:rsidRPr="00C4751D">
        <w:rPr>
          <w:rFonts w:ascii="Simplified Arabic"/>
          <w:rtl/>
          <w:lang w:bidi="ar-IQ"/>
        </w:rPr>
        <w:t xml:space="preserve"> </w:t>
      </w:r>
      <w:r w:rsidR="00517288">
        <w:rPr>
          <w:rFonts w:hint="cs"/>
          <w:rtl/>
        </w:rPr>
        <w:t>( ت 253 هـ )</w:t>
      </w:r>
      <w:r w:rsidR="00517288" w:rsidRPr="00CA26AF">
        <w:rPr>
          <w:rtl/>
        </w:rPr>
        <w:t xml:space="preserve"> </w:t>
      </w:r>
      <w:r w:rsidR="00517288">
        <w:rPr>
          <w:rFonts w:hint="cs"/>
          <w:rtl/>
        </w:rPr>
        <w:t>الذي ألفه في الكوفة</w:t>
      </w:r>
      <w:r w:rsidR="00517288">
        <w:rPr>
          <w:vertAlign w:val="superscript"/>
          <w:rtl/>
        </w:rPr>
        <w:t xml:space="preserve">( </w:t>
      </w:r>
      <w:r w:rsidR="00517288">
        <w:rPr>
          <w:rStyle w:val="FootnoteReference"/>
          <w:rtl/>
        </w:rPr>
        <w:footnoteReference w:id="11"/>
      </w:r>
      <w:r w:rsidR="00517288">
        <w:rPr>
          <w:vertAlign w:val="superscript"/>
          <w:rtl/>
        </w:rPr>
        <w:t xml:space="preserve"> )</w:t>
      </w:r>
      <w:r w:rsidR="00517288">
        <w:rPr>
          <w:rFonts w:hint="cs"/>
          <w:rtl/>
        </w:rPr>
        <w:t xml:space="preserve"> .</w:t>
      </w:r>
    </w:p>
    <w:p w:rsidR="00B3043C" w:rsidRDefault="00B3043C" w:rsidP="0032442D">
      <w:pPr>
        <w:widowControl w:val="0"/>
        <w:spacing w:before="120"/>
        <w:jc w:val="mediumKashida"/>
        <w:rPr>
          <w:rtl/>
        </w:rPr>
      </w:pPr>
      <w:r w:rsidRPr="00AA7348">
        <w:rPr>
          <w:rFonts w:hint="cs"/>
          <w:b/>
          <w:bCs/>
          <w:rtl/>
        </w:rPr>
        <w:t>2 ـ علم نقاط المصحف</w:t>
      </w:r>
      <w:r>
        <w:rPr>
          <w:rFonts w:hint="cs"/>
          <w:rtl/>
        </w:rPr>
        <w:t xml:space="preserve"> :</w:t>
      </w:r>
    </w:p>
    <w:p w:rsidR="000E6B35" w:rsidRDefault="000E6B35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لم تتوقف حركة الإبداع عند حدود ما رسمه الخليل ، بل طور بعض المبدعين الذين تلوه طريقته ، ومن هؤلاء أبو حاتم السجستاني ،            ( ت 255 هـ ) النحوي البصري ، وهو مقرئ مشهور أَيْضًا ، له كتاب في النقط ، وقد وصفه ابن النديم بأنه يحتوي على جداول ودارات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2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F0DB5" w:rsidRDefault="00B33C2E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AA7348">
        <w:rPr>
          <w:rFonts w:hint="cs"/>
          <w:rtl/>
        </w:rPr>
        <w:t xml:space="preserve">من المتأثرين بمنهج الخليل وطريقته في علم نقاط المصحف </w:t>
      </w:r>
      <w:r w:rsidR="00271464">
        <w:rPr>
          <w:rFonts w:hint="cs"/>
          <w:rtl/>
        </w:rPr>
        <w:t xml:space="preserve">والذين برزت جهودهم في هذا الفنّ </w:t>
      </w:r>
      <w:r w:rsidR="00AA7348">
        <w:rPr>
          <w:rFonts w:hint="cs"/>
          <w:rtl/>
        </w:rPr>
        <w:t xml:space="preserve">: أبو مُحَمَّد يحيى بن المبارك اليزيدي </w:t>
      </w:r>
      <w:r w:rsidR="00AA7348">
        <w:rPr>
          <w:rFonts w:hint="cs"/>
          <w:rtl/>
        </w:rPr>
        <w:lastRenderedPageBreak/>
        <w:t>( ت 202 هـ )،وهو أشهر تلاميذ أبي عمرو بن العلاء ( ت 154 هـ ) في القراءات ، ومنهم أبناؤه الثلاثة : إبراهيم بن يحيى ( ت 225 هـ ) ، وعبد الله بن يحيى ( ت 237 هـ ) ومحمد بن يحيى ( ت 227 هـ ) ،  وكل واحد من هؤلاء له كتاب في النقط</w:t>
      </w:r>
      <w:r w:rsidR="007F0DB5">
        <w:rPr>
          <w:vertAlign w:val="superscript"/>
          <w:rtl/>
        </w:rPr>
        <w:t xml:space="preserve">( </w:t>
      </w:r>
      <w:r w:rsidR="007F0DB5">
        <w:rPr>
          <w:rStyle w:val="FootnoteReference"/>
          <w:rtl/>
        </w:rPr>
        <w:footnoteReference w:id="13"/>
      </w:r>
      <w:r w:rsidR="007F0DB5">
        <w:rPr>
          <w:vertAlign w:val="superscript"/>
          <w:rtl/>
        </w:rPr>
        <w:t xml:space="preserve"> )</w:t>
      </w:r>
      <w:r w:rsidR="00AA7348">
        <w:rPr>
          <w:rFonts w:hint="cs"/>
          <w:rtl/>
        </w:rPr>
        <w:t xml:space="preserve"> </w:t>
      </w:r>
      <w:r w:rsidR="007F0DB5">
        <w:rPr>
          <w:rFonts w:hint="cs"/>
          <w:rtl/>
        </w:rPr>
        <w:t>.</w:t>
      </w:r>
    </w:p>
    <w:p w:rsidR="00AA7348" w:rsidRDefault="00AA7348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ومنهم أبو إسحاق إبراهيم بن سفيان الزيادي ( ت 249 هـ )</w:t>
      </w:r>
      <w:r w:rsidR="008A7EF5">
        <w:rPr>
          <w:rFonts w:hint="cs"/>
          <w:rtl/>
        </w:rPr>
        <w:t xml:space="preserve"> ، له كتاب النقط والشكل</w:t>
      </w:r>
      <w:r w:rsidRPr="00F66AA5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4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271464">
        <w:rPr>
          <w:rFonts w:hint="cs"/>
          <w:rtl/>
        </w:rPr>
        <w:t>.</w:t>
      </w:r>
    </w:p>
    <w:p w:rsidR="00AA7348" w:rsidRDefault="00AA7348" w:rsidP="0032442D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3 ـ </w:t>
      </w:r>
      <w:r w:rsidRPr="00805F52">
        <w:rPr>
          <w:rFonts w:hint="cs"/>
          <w:b/>
          <w:bCs/>
          <w:rtl/>
        </w:rPr>
        <w:t>علم رسم المصحف ، أو هجاء المصحف</w:t>
      </w:r>
      <w:r>
        <w:rPr>
          <w:rFonts w:hint="cs"/>
          <w:rtl/>
        </w:rPr>
        <w:t xml:space="preserve"> ، </w:t>
      </w:r>
      <w:r w:rsidRPr="007F75F7">
        <w:rPr>
          <w:rFonts w:hint="cs"/>
          <w:b/>
          <w:bCs/>
          <w:rtl/>
        </w:rPr>
        <w:t>أو رسم خط التنزيل</w:t>
      </w:r>
      <w:r>
        <w:rPr>
          <w:rFonts w:hint="cs"/>
          <w:rtl/>
        </w:rPr>
        <w:t xml:space="preserve"> : </w:t>
      </w:r>
    </w:p>
    <w:p w:rsidR="00AA7348" w:rsidRDefault="00AA7348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أش</w:t>
      </w:r>
      <w:r w:rsidR="00DA37E3">
        <w:rPr>
          <w:rFonts w:hint="cs"/>
          <w:rtl/>
        </w:rPr>
        <w:t>ه</w:t>
      </w:r>
      <w:r>
        <w:rPr>
          <w:rFonts w:hint="cs"/>
          <w:rtl/>
        </w:rPr>
        <w:t>ر من ألف في هذا العلم من علماء العراق في هذا القرن : الفراء ( ت 207 هـ ) بكتابه (</w:t>
      </w:r>
      <w:r w:rsidR="0060193A">
        <w:rPr>
          <w:rFonts w:hint="cs"/>
          <w:rtl/>
        </w:rPr>
        <w:t xml:space="preserve"> اختلاف </w:t>
      </w:r>
      <w:r>
        <w:rPr>
          <w:rFonts w:hint="cs"/>
          <w:rtl/>
        </w:rPr>
        <w:t xml:space="preserve">أهل الكوفة والبصرة </w:t>
      </w:r>
      <w:r w:rsidR="007F0DB5">
        <w:rPr>
          <w:rFonts w:hint="cs"/>
          <w:rtl/>
        </w:rPr>
        <w:t xml:space="preserve">             </w:t>
      </w:r>
      <w:r>
        <w:rPr>
          <w:rFonts w:hint="cs"/>
          <w:rtl/>
        </w:rPr>
        <w:t xml:space="preserve">والشام </w:t>
      </w:r>
      <w:r w:rsidR="0060193A">
        <w:rPr>
          <w:rFonts w:hint="cs"/>
          <w:rtl/>
        </w:rPr>
        <w:t xml:space="preserve">في المصاحف </w:t>
      </w:r>
      <w:r>
        <w:rPr>
          <w:rFonts w:hint="cs"/>
          <w:rtl/>
        </w:rPr>
        <w:t>)</w:t>
      </w:r>
      <w:r w:rsidR="00587040" w:rsidRPr="00587040">
        <w:rPr>
          <w:vertAlign w:val="superscript"/>
          <w:rtl/>
        </w:rPr>
        <w:t xml:space="preserve"> </w:t>
      </w:r>
      <w:r w:rsidR="00587040">
        <w:rPr>
          <w:vertAlign w:val="superscript"/>
          <w:rtl/>
        </w:rPr>
        <w:t xml:space="preserve">( </w:t>
      </w:r>
      <w:r w:rsidR="00587040">
        <w:rPr>
          <w:rStyle w:val="FootnoteReference"/>
          <w:rtl/>
        </w:rPr>
        <w:footnoteReference w:id="15"/>
      </w:r>
      <w:r w:rsidR="00587040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AA7348" w:rsidRDefault="00587040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EF51F3">
        <w:rPr>
          <w:rtl/>
        </w:rPr>
        <w:t xml:space="preserve"> </w:t>
      </w:r>
      <w:r w:rsidR="00EF51F3" w:rsidRPr="00EE34CB">
        <w:rPr>
          <w:sz w:val="20"/>
          <w:rtl/>
        </w:rPr>
        <w:t>علي بن محمد بن عبد الله</w:t>
      </w:r>
      <w:r w:rsidR="00EF51F3">
        <w:rPr>
          <w:rFonts w:hint="cs"/>
          <w:sz w:val="20"/>
          <w:rtl/>
        </w:rPr>
        <w:t xml:space="preserve"> </w:t>
      </w:r>
      <w:r w:rsidR="00EF51F3" w:rsidRPr="00EE34CB">
        <w:rPr>
          <w:sz w:val="20"/>
          <w:rtl/>
        </w:rPr>
        <w:t xml:space="preserve">، أبو الحسن المدائني ، ( ويقال المدايني ) </w:t>
      </w:r>
      <w:r w:rsidR="00EF51F3">
        <w:rPr>
          <w:rFonts w:hint="cs"/>
          <w:sz w:val="20"/>
          <w:rtl/>
        </w:rPr>
        <w:t xml:space="preserve">وهو </w:t>
      </w:r>
      <w:r w:rsidR="00EF51F3" w:rsidRPr="00EE34CB">
        <w:rPr>
          <w:sz w:val="20"/>
          <w:rtl/>
        </w:rPr>
        <w:t xml:space="preserve">رواية </w:t>
      </w:r>
      <w:r w:rsidR="00EF51F3">
        <w:rPr>
          <w:rFonts w:hint="cs"/>
          <w:sz w:val="20"/>
          <w:rtl/>
        </w:rPr>
        <w:t>و</w:t>
      </w:r>
      <w:r w:rsidR="00EF51F3" w:rsidRPr="00EE34CB">
        <w:rPr>
          <w:sz w:val="20"/>
          <w:rtl/>
        </w:rPr>
        <w:t xml:space="preserve">مؤرخ ، كثير التصانيف ، من أهل البصرة . سكن المدائن ، ثم انتقل إلى بغداد فلم يزل بها إلى أن توفي </w:t>
      </w:r>
      <w:r w:rsidR="00EF51F3">
        <w:rPr>
          <w:rtl/>
        </w:rPr>
        <w:t xml:space="preserve">سنة </w:t>
      </w:r>
      <w:r w:rsidR="00EF51F3">
        <w:rPr>
          <w:rFonts w:hint="cs"/>
          <w:rtl/>
        </w:rPr>
        <w:t xml:space="preserve">           </w:t>
      </w:r>
      <w:r w:rsidR="00EF51F3">
        <w:rPr>
          <w:rtl/>
        </w:rPr>
        <w:t>( 225 هـ )</w:t>
      </w:r>
      <w:r w:rsidR="00AA7348">
        <w:rPr>
          <w:rFonts w:hint="cs"/>
          <w:rtl/>
        </w:rPr>
        <w:t xml:space="preserve"> </w:t>
      </w:r>
      <w:r w:rsidR="00EF51F3">
        <w:rPr>
          <w:rFonts w:hint="cs"/>
          <w:rtl/>
        </w:rPr>
        <w:t xml:space="preserve">له </w:t>
      </w:r>
      <w:r w:rsidR="00AA7348">
        <w:rPr>
          <w:rFonts w:hint="cs"/>
          <w:rtl/>
        </w:rPr>
        <w:t>كتابه ( المصاحف )</w:t>
      </w:r>
      <w:r w:rsidR="0001379A" w:rsidRPr="0001379A">
        <w:rPr>
          <w:vertAlign w:val="superscript"/>
          <w:rtl/>
        </w:rPr>
        <w:t xml:space="preserve"> </w:t>
      </w:r>
      <w:r w:rsidR="00D94DF5" w:rsidRPr="00583CBE">
        <w:rPr>
          <w:vertAlign w:val="superscript"/>
          <w:rtl/>
        </w:rPr>
        <w:t xml:space="preserve">( </w:t>
      </w:r>
      <w:r w:rsidR="00D94DF5" w:rsidRPr="00583CBE">
        <w:rPr>
          <w:rStyle w:val="FootnoteReference"/>
          <w:rtl/>
        </w:rPr>
        <w:footnoteReference w:id="16"/>
      </w:r>
      <w:r w:rsidR="00D94DF5" w:rsidRPr="00583CBE">
        <w:rPr>
          <w:vertAlign w:val="superscript"/>
          <w:rtl/>
        </w:rPr>
        <w:t xml:space="preserve"> )</w:t>
      </w:r>
      <w:r w:rsidR="00AA7348">
        <w:rPr>
          <w:rFonts w:hint="cs"/>
          <w:rtl/>
        </w:rPr>
        <w:t xml:space="preserve"> .</w:t>
      </w:r>
    </w:p>
    <w:p w:rsidR="00AA7348" w:rsidRPr="00AD6587" w:rsidRDefault="008A092C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AA7348">
        <w:rPr>
          <w:rFonts w:hint="cs"/>
          <w:rtl/>
        </w:rPr>
        <w:t>خ</w:t>
      </w:r>
      <w:r w:rsidR="00AA7348" w:rsidRPr="00AD6587">
        <w:rPr>
          <w:rFonts w:hint="cs"/>
          <w:rtl/>
        </w:rPr>
        <w:t xml:space="preserve">لف بن هشام البزار </w:t>
      </w:r>
      <w:r w:rsidRPr="00AD6587">
        <w:rPr>
          <w:rFonts w:ascii="Simplified Arabic" w:hint="eastAsia"/>
          <w:rtl/>
          <w:lang w:bidi="ar-IQ"/>
        </w:rPr>
        <w:t>ال</w:t>
      </w:r>
      <w:r w:rsidRPr="00AD6587">
        <w:rPr>
          <w:rFonts w:ascii="Simplified Arabic" w:hint="cs"/>
          <w:rtl/>
          <w:lang w:bidi="ar-IQ"/>
        </w:rPr>
        <w:t>أ</w:t>
      </w:r>
      <w:r w:rsidRPr="00AD6587">
        <w:rPr>
          <w:rFonts w:ascii="Simplified Arabic" w:hint="eastAsia"/>
          <w:rtl/>
          <w:lang w:bidi="ar-IQ"/>
        </w:rPr>
        <w:t>سدي</w:t>
      </w:r>
      <w:r w:rsidRPr="00AD6587">
        <w:rPr>
          <w:rFonts w:hint="cs"/>
          <w:rtl/>
        </w:rPr>
        <w:t xml:space="preserve"> </w:t>
      </w:r>
      <w:r w:rsidR="00AA7348" w:rsidRPr="00AD6587">
        <w:rPr>
          <w:rFonts w:hint="cs"/>
          <w:rtl/>
        </w:rPr>
        <w:t xml:space="preserve">( ت 229 هـ ) </w:t>
      </w:r>
      <w:r w:rsidRPr="00AD6587">
        <w:rPr>
          <w:rFonts w:ascii="Simplified Arabic" w:hint="cs"/>
          <w:rtl/>
          <w:lang w:bidi="ar-IQ"/>
        </w:rPr>
        <w:t xml:space="preserve">، وهو </w:t>
      </w:r>
      <w:r w:rsidRPr="00AD6587">
        <w:rPr>
          <w:rFonts w:ascii="Simplified Arabic" w:hint="eastAsia"/>
          <w:rtl/>
          <w:lang w:bidi="ar-IQ"/>
        </w:rPr>
        <w:t>أحد</w:t>
      </w:r>
      <w:r w:rsidRPr="00AD6587">
        <w:rPr>
          <w:rFonts w:ascii="Simplified Arabic"/>
          <w:rtl/>
          <w:lang w:bidi="ar-IQ"/>
        </w:rPr>
        <w:t xml:space="preserve"> </w:t>
      </w:r>
      <w:r w:rsidRPr="00AD6587">
        <w:rPr>
          <w:rFonts w:ascii="Simplified Arabic" w:hint="eastAsia"/>
          <w:rtl/>
          <w:lang w:bidi="ar-IQ"/>
        </w:rPr>
        <w:t>القراء</w:t>
      </w:r>
      <w:r w:rsidRPr="00AD6587">
        <w:rPr>
          <w:rFonts w:ascii="Simplified Arabic"/>
          <w:rtl/>
          <w:lang w:bidi="ar-IQ"/>
        </w:rPr>
        <w:t xml:space="preserve"> </w:t>
      </w:r>
      <w:r w:rsidRPr="00AD6587">
        <w:rPr>
          <w:rFonts w:ascii="Simplified Arabic" w:hint="eastAsia"/>
          <w:rtl/>
          <w:lang w:bidi="ar-IQ"/>
        </w:rPr>
        <w:t>العشرة</w:t>
      </w:r>
      <w:r w:rsidRPr="00AD6587">
        <w:rPr>
          <w:rFonts w:hint="cs"/>
          <w:rtl/>
        </w:rPr>
        <w:t xml:space="preserve"> ، </w:t>
      </w:r>
      <w:r w:rsidR="003858B5">
        <w:rPr>
          <w:rFonts w:hint="cs"/>
          <w:rtl/>
        </w:rPr>
        <w:t xml:space="preserve">أصله من </w:t>
      </w:r>
      <w:r w:rsidR="003858B5">
        <w:rPr>
          <w:rFonts w:ascii="Simplified Arabic" w:hint="eastAsia"/>
          <w:color w:val="000000"/>
          <w:rtl/>
          <w:lang w:bidi="ar-IQ"/>
        </w:rPr>
        <w:t>واسط</w:t>
      </w:r>
      <w:r w:rsidR="003858B5">
        <w:rPr>
          <w:rFonts w:ascii="Simplified Arabic" w:hint="cs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،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واشتهر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ببغداد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وتوفي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فيها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مختفيا</w:t>
      </w:r>
      <w:r w:rsidR="003858B5">
        <w:rPr>
          <w:rFonts w:ascii="Simplified Arabic" w:hint="cs"/>
          <w:color w:val="000000"/>
          <w:rtl/>
          <w:lang w:bidi="ar-IQ"/>
        </w:rPr>
        <w:t xml:space="preserve">ً </w:t>
      </w:r>
      <w:r w:rsidR="003858B5">
        <w:rPr>
          <w:rFonts w:ascii="Simplified Arabic" w:hint="eastAsia"/>
          <w:color w:val="000000"/>
          <w:rtl/>
          <w:lang w:bidi="ar-IQ"/>
        </w:rPr>
        <w:t>،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زمان</w:t>
      </w:r>
      <w:r w:rsidR="003858B5">
        <w:rPr>
          <w:rFonts w:ascii="Simplified Arabic"/>
          <w:color w:val="000000"/>
          <w:rtl/>
          <w:lang w:bidi="ar-IQ"/>
        </w:rPr>
        <w:t xml:space="preserve"> </w:t>
      </w:r>
      <w:r w:rsidR="003858B5">
        <w:rPr>
          <w:rFonts w:ascii="Simplified Arabic" w:hint="eastAsia"/>
          <w:color w:val="000000"/>
          <w:rtl/>
          <w:lang w:bidi="ar-IQ"/>
        </w:rPr>
        <w:t>الجهمية</w:t>
      </w:r>
      <w:r w:rsidR="003858B5">
        <w:rPr>
          <w:rFonts w:hint="cs"/>
          <w:rtl/>
          <w:lang w:bidi="ar-IQ"/>
        </w:rPr>
        <w:t xml:space="preserve"> </w:t>
      </w:r>
      <w:r w:rsidR="003858B5">
        <w:rPr>
          <w:rFonts w:hint="cs"/>
          <w:rtl/>
        </w:rPr>
        <w:t xml:space="preserve">، </w:t>
      </w:r>
      <w:r w:rsidR="00AA7348" w:rsidRPr="00AD6587">
        <w:rPr>
          <w:rFonts w:hint="cs"/>
          <w:rtl/>
        </w:rPr>
        <w:t>له كتاب ( المصاحف )</w:t>
      </w:r>
      <w:r w:rsidR="0001379A" w:rsidRPr="00AD6587">
        <w:rPr>
          <w:vertAlign w:val="superscript"/>
          <w:rtl/>
        </w:rPr>
        <w:t xml:space="preserve"> ( </w:t>
      </w:r>
      <w:r w:rsidR="0001379A" w:rsidRPr="00AD6587">
        <w:rPr>
          <w:rStyle w:val="FootnoteReference"/>
          <w:rtl/>
        </w:rPr>
        <w:footnoteReference w:id="17"/>
      </w:r>
      <w:r w:rsidR="0001379A" w:rsidRPr="00AD6587">
        <w:rPr>
          <w:vertAlign w:val="superscript"/>
          <w:rtl/>
        </w:rPr>
        <w:t xml:space="preserve"> )</w:t>
      </w:r>
      <w:r w:rsidR="00AA7348" w:rsidRPr="00AD6587">
        <w:rPr>
          <w:rFonts w:hint="cs"/>
          <w:rtl/>
        </w:rPr>
        <w:t xml:space="preserve"> .</w:t>
      </w:r>
    </w:p>
    <w:p w:rsidR="00242423" w:rsidRDefault="00242423" w:rsidP="0032442D">
      <w:pPr>
        <w:widowControl w:val="0"/>
        <w:spacing w:before="120"/>
        <w:ind w:firstLine="720"/>
        <w:jc w:val="mediumKashida"/>
        <w:rPr>
          <w:rtl/>
        </w:rPr>
      </w:pPr>
      <w:r w:rsidRPr="00242423">
        <w:rPr>
          <w:rFonts w:hint="cs"/>
          <w:rtl/>
        </w:rPr>
        <w:lastRenderedPageBreak/>
        <w:t xml:space="preserve">كتاب </w:t>
      </w:r>
      <w:r w:rsidRPr="00242423">
        <w:rPr>
          <w:rtl/>
        </w:rPr>
        <w:t>رسم المصحف</w:t>
      </w:r>
      <w:r w:rsidRPr="006D2F23">
        <w:rPr>
          <w:rtl/>
        </w:rPr>
        <w:t xml:space="preserve"> </w:t>
      </w:r>
      <w:r>
        <w:rPr>
          <w:rFonts w:hint="cs"/>
          <w:rtl/>
        </w:rPr>
        <w:t xml:space="preserve">، </w:t>
      </w:r>
      <w:r w:rsidRPr="006D2F23">
        <w:rPr>
          <w:rtl/>
        </w:rPr>
        <w:t xml:space="preserve">لأبى المنذر نصير بن يوسف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نصر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الرازي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البغدادي</w:t>
      </w:r>
      <w:r w:rsidRPr="006D2F23">
        <w:rPr>
          <w:rtl/>
        </w:rPr>
        <w:t xml:space="preserve"> النحوي </w:t>
      </w:r>
      <w:r>
        <w:rPr>
          <w:rFonts w:hint="cs"/>
          <w:rtl/>
        </w:rPr>
        <w:t xml:space="preserve">( </w:t>
      </w:r>
      <w:r w:rsidRPr="006D2F23">
        <w:rPr>
          <w:rtl/>
        </w:rPr>
        <w:t>ت 240 هـ</w:t>
      </w:r>
      <w:r>
        <w:rPr>
          <w:rFonts w:hint="cs"/>
          <w:rtl/>
        </w:rPr>
        <w:t xml:space="preserve"> ) ، </w:t>
      </w:r>
      <w:r w:rsidRPr="006D2F23">
        <w:rPr>
          <w:rtl/>
        </w:rPr>
        <w:t>كان من الأئمة الحذّاق لاسيما في رسم المصحف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8"/>
      </w:r>
      <w:r>
        <w:rPr>
          <w:vertAlign w:val="superscript"/>
          <w:rtl/>
        </w:rPr>
        <w:t xml:space="preserve"> )</w:t>
      </w:r>
      <w:r>
        <w:rPr>
          <w:rFonts w:hint="cs"/>
          <w:vertAlign w:val="superscript"/>
          <w:rtl/>
        </w:rPr>
        <w:t xml:space="preserve"> </w:t>
      </w:r>
      <w:r w:rsidRPr="006D2F23">
        <w:rPr>
          <w:rtl/>
        </w:rPr>
        <w:t>.</w:t>
      </w:r>
    </w:p>
    <w:p w:rsidR="00144B99" w:rsidRDefault="00144B99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ول</w:t>
      </w:r>
      <w:r>
        <w:rPr>
          <w:rtl/>
        </w:rPr>
        <w:t xml:space="preserve">محمد بن عيسى بن </w:t>
      </w:r>
      <w:r>
        <w:rPr>
          <w:rFonts w:hint="cs"/>
          <w:rtl/>
        </w:rPr>
        <w:t>إ</w:t>
      </w:r>
      <w:r>
        <w:rPr>
          <w:rtl/>
        </w:rPr>
        <w:t>براهيم الت</w:t>
      </w:r>
      <w:r>
        <w:rPr>
          <w:rFonts w:hint="cs"/>
          <w:rtl/>
        </w:rPr>
        <w:t>م</w:t>
      </w:r>
      <w:r>
        <w:rPr>
          <w:rtl/>
        </w:rPr>
        <w:t>يمي</w:t>
      </w:r>
      <w:r>
        <w:rPr>
          <w:rFonts w:hint="cs"/>
          <w:rtl/>
        </w:rPr>
        <w:t xml:space="preserve"> </w:t>
      </w:r>
      <w:r>
        <w:rPr>
          <w:rtl/>
        </w:rPr>
        <w:t>(</w:t>
      </w:r>
      <w:r>
        <w:rPr>
          <w:rFonts w:hint="cs"/>
          <w:rtl/>
        </w:rPr>
        <w:t xml:space="preserve"> ت </w:t>
      </w:r>
      <w:r>
        <w:rPr>
          <w:rtl/>
        </w:rPr>
        <w:t xml:space="preserve">253 </w:t>
      </w:r>
      <w:r>
        <w:rPr>
          <w:rFonts w:hint="cs"/>
          <w:rtl/>
        </w:rPr>
        <w:t xml:space="preserve">هـ </w:t>
      </w:r>
      <w:r>
        <w:rPr>
          <w:rtl/>
        </w:rPr>
        <w:t xml:space="preserve">) ، </w:t>
      </w:r>
      <w:r w:rsidRPr="00C4751D">
        <w:rPr>
          <w:rFonts w:ascii="Simplified Arabic" w:hint="eastAsia"/>
          <w:rtl/>
          <w:lang w:bidi="ar-IQ"/>
        </w:rPr>
        <w:t>كتاب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في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جواز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قراءة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القرآن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على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طريق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المخاطبة</w:t>
      </w:r>
      <w:r w:rsidRPr="00C4751D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 xml:space="preserve">، </w:t>
      </w:r>
      <w:r w:rsidRPr="00C4751D">
        <w:rPr>
          <w:rFonts w:ascii="Simplified Arabic" w:hint="eastAsia"/>
          <w:rtl/>
          <w:lang w:bidi="ar-IQ"/>
        </w:rPr>
        <w:t>وكتاب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في</w:t>
      </w:r>
      <w:r w:rsidRPr="00C4751D">
        <w:rPr>
          <w:rFonts w:ascii="Simplified Arabic"/>
          <w:rtl/>
          <w:lang w:bidi="ar-IQ"/>
        </w:rPr>
        <w:t xml:space="preserve"> </w:t>
      </w:r>
      <w:r w:rsidRPr="00C4751D">
        <w:rPr>
          <w:rFonts w:ascii="Simplified Arabic" w:hint="eastAsia"/>
          <w:rtl/>
          <w:lang w:bidi="ar-IQ"/>
        </w:rPr>
        <w:t>الرسم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9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EC12FA" w:rsidRDefault="00EC12FA" w:rsidP="0032442D">
      <w:pPr>
        <w:widowControl w:val="0"/>
        <w:spacing w:before="120"/>
        <w:ind w:firstLine="720"/>
        <w:jc w:val="mediumKashida"/>
        <w:rPr>
          <w:sz w:val="24"/>
          <w:rtl/>
        </w:rPr>
      </w:pPr>
      <w:r>
        <w:rPr>
          <w:rFonts w:hint="cs"/>
          <w:rtl/>
        </w:rPr>
        <w:t xml:space="preserve">كتاب </w:t>
      </w:r>
      <w:r w:rsidR="00E45159">
        <w:rPr>
          <w:rFonts w:hint="cs"/>
          <w:rtl/>
        </w:rPr>
        <w:t xml:space="preserve"> </w:t>
      </w:r>
      <w:r>
        <w:rPr>
          <w:rFonts w:hint="cs"/>
          <w:rtl/>
        </w:rPr>
        <w:t xml:space="preserve">الهجاء </w:t>
      </w:r>
      <w:r w:rsidR="00E45159">
        <w:rPr>
          <w:rFonts w:hint="cs"/>
          <w:rtl/>
        </w:rPr>
        <w:t xml:space="preserve">، وكتاب اختلاف المصاحف </w:t>
      </w:r>
      <w:r>
        <w:rPr>
          <w:rFonts w:hint="cs"/>
          <w:rtl/>
        </w:rPr>
        <w:t>لأبي حاتم سهل بن مُحَمَّد السجستاني ( ت 255 هـ )</w:t>
      </w:r>
      <w:r w:rsidRPr="00AD6A00">
        <w:rPr>
          <w:vertAlign w:val="superscript"/>
          <w:rtl/>
        </w:rPr>
        <w:t xml:space="preserve"> </w:t>
      </w:r>
      <w:r w:rsidRPr="00583CBE">
        <w:rPr>
          <w:vertAlign w:val="superscript"/>
          <w:rtl/>
        </w:rPr>
        <w:t xml:space="preserve">( </w:t>
      </w:r>
      <w:r w:rsidRPr="00583CBE">
        <w:rPr>
          <w:rStyle w:val="FootnoteReference"/>
          <w:rtl/>
        </w:rPr>
        <w:footnoteReference w:id="20"/>
      </w:r>
      <w:r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A37E3" w:rsidRDefault="004D3728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sz w:val="24"/>
          <w:rtl/>
        </w:rPr>
        <w:t xml:space="preserve">ولثعلب ، </w:t>
      </w:r>
      <w:r>
        <w:rPr>
          <w:sz w:val="24"/>
          <w:rtl/>
        </w:rPr>
        <w:t xml:space="preserve">أبو العباس أحمد بن يحيى النحوي ، ( </w:t>
      </w:r>
      <w:r>
        <w:rPr>
          <w:rFonts w:hint="cs"/>
          <w:sz w:val="24"/>
          <w:rtl/>
        </w:rPr>
        <w:t xml:space="preserve">ت </w:t>
      </w:r>
      <w:r>
        <w:rPr>
          <w:sz w:val="24"/>
          <w:rtl/>
        </w:rPr>
        <w:t xml:space="preserve">291 هـ ) </w:t>
      </w:r>
      <w:r>
        <w:rPr>
          <w:rFonts w:hint="cs"/>
          <w:sz w:val="24"/>
          <w:rtl/>
        </w:rPr>
        <w:t xml:space="preserve">وهو </w:t>
      </w:r>
      <w:r>
        <w:rPr>
          <w:sz w:val="24"/>
          <w:rtl/>
        </w:rPr>
        <w:t xml:space="preserve">من أئمة النحو </w:t>
      </w:r>
      <w:r w:rsidR="00147521">
        <w:rPr>
          <w:rFonts w:hint="cs"/>
          <w:sz w:val="24"/>
          <w:rtl/>
        </w:rPr>
        <w:t xml:space="preserve">، </w:t>
      </w:r>
      <w:r w:rsidR="00DA37E3">
        <w:rPr>
          <w:rFonts w:hint="cs"/>
          <w:rtl/>
        </w:rPr>
        <w:t>كتاب الهجاء</w:t>
      </w:r>
      <w:r w:rsidRPr="00583CBE">
        <w:rPr>
          <w:vertAlign w:val="superscript"/>
          <w:rtl/>
        </w:rPr>
        <w:t xml:space="preserve">( </w:t>
      </w:r>
      <w:r w:rsidRPr="00583CBE">
        <w:rPr>
          <w:rStyle w:val="FootnoteReference"/>
          <w:rtl/>
        </w:rPr>
        <w:footnoteReference w:id="21"/>
      </w:r>
      <w:r w:rsidRPr="00583CBE">
        <w:rPr>
          <w:vertAlign w:val="superscript"/>
          <w:rtl/>
        </w:rPr>
        <w:t xml:space="preserve"> )</w:t>
      </w:r>
      <w:r w:rsidR="0001379A" w:rsidRPr="0001379A">
        <w:rPr>
          <w:vertAlign w:val="superscript"/>
          <w:rtl/>
        </w:rPr>
        <w:t xml:space="preserve"> </w:t>
      </w:r>
      <w:r w:rsidR="00DA37E3" w:rsidRPr="006C70BC">
        <w:rPr>
          <w:rFonts w:hint="cs"/>
          <w:rtl/>
        </w:rPr>
        <w:t>.</w:t>
      </w:r>
    </w:p>
    <w:p w:rsidR="00DA37E3" w:rsidRDefault="0053299D" w:rsidP="0032442D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rFonts w:hint="cs"/>
          <w:rtl/>
        </w:rPr>
        <w:t>و</w:t>
      </w:r>
      <w:r w:rsidR="00DA37E3">
        <w:rPr>
          <w:rFonts w:hint="cs"/>
          <w:rtl/>
        </w:rPr>
        <w:t xml:space="preserve">كتاب الخط والهجاء </w:t>
      </w:r>
      <w:r w:rsidR="00E22508">
        <w:rPr>
          <w:rFonts w:hint="cs"/>
          <w:sz w:val="24"/>
          <w:rtl/>
        </w:rPr>
        <w:t xml:space="preserve">لأبي </w:t>
      </w:r>
      <w:r w:rsidR="00E22508">
        <w:rPr>
          <w:sz w:val="24"/>
          <w:rtl/>
        </w:rPr>
        <w:t xml:space="preserve">العباس محمد بن يزيد </w:t>
      </w:r>
      <w:r w:rsidR="00E22508">
        <w:rPr>
          <w:rFonts w:hint="cs"/>
          <w:rtl/>
        </w:rPr>
        <w:t>ا</w:t>
      </w:r>
      <w:r w:rsidR="00DA37E3">
        <w:rPr>
          <w:rFonts w:hint="cs"/>
          <w:rtl/>
        </w:rPr>
        <w:t xml:space="preserve">لمبرد </w:t>
      </w:r>
      <w:r w:rsidR="00E22508">
        <w:rPr>
          <w:rFonts w:hint="cs"/>
          <w:snapToGrid w:val="0"/>
          <w:rtl/>
        </w:rPr>
        <w:t xml:space="preserve">                      </w:t>
      </w:r>
      <w:r w:rsidR="00DA37E3" w:rsidRPr="006C70BC">
        <w:rPr>
          <w:snapToGrid w:val="0"/>
          <w:rtl/>
        </w:rPr>
        <w:t>( ت 285 هـ )</w:t>
      </w:r>
      <w:r w:rsidR="00E22508" w:rsidRPr="00E22508">
        <w:rPr>
          <w:vertAlign w:val="superscript"/>
          <w:rtl/>
        </w:rPr>
        <w:t xml:space="preserve"> </w:t>
      </w:r>
      <w:r w:rsidR="00E22508" w:rsidRPr="00583CBE">
        <w:rPr>
          <w:vertAlign w:val="superscript"/>
          <w:rtl/>
        </w:rPr>
        <w:t xml:space="preserve">( </w:t>
      </w:r>
      <w:r w:rsidR="00E22508" w:rsidRPr="00583CBE">
        <w:rPr>
          <w:rStyle w:val="FootnoteReference"/>
          <w:rtl/>
        </w:rPr>
        <w:footnoteReference w:id="22"/>
      </w:r>
      <w:r w:rsidR="00E22508" w:rsidRPr="00583CBE">
        <w:rPr>
          <w:vertAlign w:val="superscript"/>
          <w:rtl/>
        </w:rPr>
        <w:t xml:space="preserve"> )</w:t>
      </w:r>
      <w:r w:rsidR="0001379A">
        <w:rPr>
          <w:rFonts w:hint="cs"/>
          <w:snapToGrid w:val="0"/>
          <w:rtl/>
        </w:rPr>
        <w:t xml:space="preserve"> .</w:t>
      </w:r>
    </w:p>
    <w:p w:rsidR="00DA37E3" w:rsidRDefault="00DA37E3" w:rsidP="0032442D">
      <w:pPr>
        <w:widowControl w:val="0"/>
        <w:spacing w:before="120"/>
        <w:jc w:val="mediumKashida"/>
        <w:rPr>
          <w:rtl/>
        </w:rPr>
      </w:pPr>
      <w:r>
        <w:rPr>
          <w:rFonts w:hint="cs"/>
          <w:rtl/>
        </w:rPr>
        <w:t xml:space="preserve">4 ـ </w:t>
      </w:r>
      <w:r w:rsidRPr="00C529D4">
        <w:rPr>
          <w:rFonts w:hint="cs"/>
          <w:b/>
          <w:bCs/>
          <w:rtl/>
        </w:rPr>
        <w:t>علم القراءات</w:t>
      </w:r>
      <w:r>
        <w:rPr>
          <w:rFonts w:hint="cs"/>
          <w:rtl/>
        </w:rPr>
        <w:t xml:space="preserve"> :</w:t>
      </w:r>
    </w:p>
    <w:p w:rsidR="00DA37E3" w:rsidRDefault="00DA37E3" w:rsidP="00A1421C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أشهر كتب القراءات في القرن الثالث :</w:t>
      </w:r>
      <w:r w:rsidR="00A1421C">
        <w:rPr>
          <w:rFonts w:hint="cs"/>
          <w:rtl/>
        </w:rPr>
        <w:t xml:space="preserve"> </w:t>
      </w:r>
      <w:r>
        <w:rPr>
          <w:rFonts w:hint="cs"/>
          <w:rtl/>
        </w:rPr>
        <w:t xml:space="preserve">كتاب القراءات </w:t>
      </w:r>
      <w:r w:rsidR="00D42608">
        <w:rPr>
          <w:rFonts w:hint="cs"/>
          <w:rtl/>
        </w:rPr>
        <w:t>ل</w:t>
      </w:r>
      <w:r w:rsidR="00FC1077">
        <w:rPr>
          <w:rFonts w:hint="cs"/>
          <w:rtl/>
        </w:rPr>
        <w:t xml:space="preserve">أبي زكريا </w:t>
      </w:r>
      <w:r>
        <w:rPr>
          <w:rFonts w:hint="cs"/>
          <w:rtl/>
        </w:rPr>
        <w:t xml:space="preserve">يحيى بن آدم </w:t>
      </w:r>
      <w:r w:rsidR="00D42608">
        <w:rPr>
          <w:sz w:val="24"/>
          <w:rtl/>
        </w:rPr>
        <w:t>بن سليمان الأموي</w:t>
      </w:r>
      <w:r w:rsidR="00FC1077">
        <w:rPr>
          <w:rFonts w:hint="cs"/>
          <w:rtl/>
        </w:rPr>
        <w:t xml:space="preserve">  </w:t>
      </w:r>
      <w:r>
        <w:rPr>
          <w:rFonts w:hint="cs"/>
          <w:rtl/>
        </w:rPr>
        <w:t>( ت 203 هـ )</w:t>
      </w:r>
      <w:r w:rsidR="005B4417" w:rsidRPr="005B4417">
        <w:rPr>
          <w:vertAlign w:val="superscript"/>
          <w:rtl/>
        </w:rPr>
        <w:t xml:space="preserve"> </w:t>
      </w:r>
      <w:r w:rsidR="005B4417" w:rsidRPr="00583CBE">
        <w:rPr>
          <w:vertAlign w:val="superscript"/>
          <w:rtl/>
        </w:rPr>
        <w:t xml:space="preserve">( </w:t>
      </w:r>
      <w:r w:rsidR="005B4417" w:rsidRPr="00583CBE">
        <w:rPr>
          <w:rStyle w:val="FootnoteReference"/>
          <w:rtl/>
        </w:rPr>
        <w:footnoteReference w:id="23"/>
      </w:r>
      <w:r w:rsidR="005B4417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كتاب القراءات لأبي عبيد القاسم بن سلام ( ت 224 هـ )</w:t>
      </w:r>
      <w:r w:rsidR="006B19C4" w:rsidRPr="006B19C4">
        <w:rPr>
          <w:vertAlign w:val="superscript"/>
          <w:rtl/>
        </w:rPr>
        <w:t xml:space="preserve"> </w:t>
      </w:r>
      <w:r w:rsidR="006B19C4" w:rsidRPr="00583CBE">
        <w:rPr>
          <w:vertAlign w:val="superscript"/>
          <w:rtl/>
        </w:rPr>
        <w:t xml:space="preserve">( </w:t>
      </w:r>
      <w:r w:rsidR="006B19C4" w:rsidRPr="00583CBE">
        <w:rPr>
          <w:rStyle w:val="FootnoteReference"/>
          <w:rtl/>
        </w:rPr>
        <w:footnoteReference w:id="24"/>
      </w:r>
      <w:r w:rsidR="006B19C4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القراءات لمحمد بن سلمان البغدادي ( ت 231 هـ )</w:t>
      </w:r>
      <w:r w:rsidR="00BC2A58" w:rsidRPr="00BC2A58">
        <w:rPr>
          <w:vertAlign w:val="superscript"/>
          <w:rtl/>
        </w:rPr>
        <w:t xml:space="preserve"> </w:t>
      </w:r>
      <w:r w:rsidR="00BC2A58">
        <w:rPr>
          <w:vertAlign w:val="superscript"/>
          <w:rtl/>
        </w:rPr>
        <w:t xml:space="preserve">( </w:t>
      </w:r>
      <w:r w:rsidR="00BC2A58">
        <w:rPr>
          <w:rStyle w:val="FootnoteReference"/>
          <w:rtl/>
        </w:rPr>
        <w:footnoteReference w:id="25"/>
      </w:r>
      <w:r w:rsidR="00BC2A5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032A19" w:rsidRDefault="00032A19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القراءات </w:t>
      </w:r>
      <w:r w:rsidRPr="006D2F23">
        <w:rPr>
          <w:rtl/>
        </w:rPr>
        <w:t xml:space="preserve">لمحمد بن يزيد بن محمد بن كثير الرفاعي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أهل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الكوفة</w:t>
      </w:r>
      <w:r>
        <w:rPr>
          <w:rFonts w:ascii="Simplified Arabic"/>
          <w:color w:val="000000"/>
          <w:rtl/>
          <w:lang w:bidi="ar-IQ"/>
        </w:rPr>
        <w:t>.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القضاء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ببغداد</w:t>
      </w:r>
      <w:r>
        <w:rPr>
          <w:rFonts w:ascii="Simplified Arabic" w:hint="cs"/>
          <w:color w:val="000000"/>
          <w:rtl/>
          <w:lang w:bidi="ar-IQ"/>
        </w:rPr>
        <w:t xml:space="preserve"> ( </w:t>
      </w:r>
      <w:r w:rsidRPr="006D2F23">
        <w:rPr>
          <w:rtl/>
        </w:rPr>
        <w:t xml:space="preserve">ت 242 هـ </w:t>
      </w:r>
      <w:r>
        <w:rPr>
          <w:rFonts w:hint="cs"/>
          <w:rtl/>
        </w:rPr>
        <w:t xml:space="preserve">) ، </w:t>
      </w:r>
      <w:r w:rsidRPr="006D2F23">
        <w:rPr>
          <w:rtl/>
        </w:rPr>
        <w:t>ذكره الخطيب البغدادي قال:</w:t>
      </w:r>
      <w:r>
        <w:rPr>
          <w:rFonts w:hint="cs"/>
          <w:rtl/>
        </w:rPr>
        <w:t xml:space="preserve"> </w:t>
      </w:r>
      <w:r w:rsidRPr="006D2F23">
        <w:rPr>
          <w:rtl/>
        </w:rPr>
        <w:t>"حدثنا عليّ بن الحسن حدثنا طلحة بن محمد بن جعفر..... وله كتاب في القراءات، قرأ علينا ابن صاعد أكثره</w:t>
      </w:r>
      <w:r>
        <w:rPr>
          <w:rFonts w:hint="cs"/>
          <w:rtl/>
        </w:rPr>
        <w:t xml:space="preserve"> </w:t>
      </w:r>
      <w:r w:rsidRPr="006D2F23">
        <w:rPr>
          <w:rtl/>
        </w:rPr>
        <w:t>"</w:t>
      </w:r>
      <w:r w:rsidR="007925D6">
        <w:rPr>
          <w:vertAlign w:val="superscript"/>
          <w:rtl/>
        </w:rPr>
        <w:t xml:space="preserve">( </w:t>
      </w:r>
      <w:r w:rsidR="007925D6">
        <w:rPr>
          <w:rStyle w:val="FootnoteReference"/>
          <w:rtl/>
        </w:rPr>
        <w:footnoteReference w:id="26"/>
      </w:r>
      <w:r w:rsidR="007925D6">
        <w:rPr>
          <w:vertAlign w:val="superscript"/>
          <w:rtl/>
        </w:rPr>
        <w:t xml:space="preserve"> )</w:t>
      </w:r>
      <w:r w:rsidRPr="006D2F23">
        <w:rPr>
          <w:rtl/>
        </w:rPr>
        <w:t>.</w:t>
      </w:r>
      <w:r w:rsidRPr="006D2F23">
        <w:rPr>
          <w:rStyle w:val="EndnoteReference"/>
          <w:rtl/>
        </w:rPr>
        <w:t xml:space="preserve"> </w:t>
      </w:r>
      <w:r w:rsidRPr="006D2F23">
        <w:rPr>
          <w:rtl/>
        </w:rPr>
        <w:t>أفاد منه ابن الباذش في كتابه الإقناع في القراءات السبع</w:t>
      </w:r>
      <w:r w:rsidR="007925D6">
        <w:rPr>
          <w:vertAlign w:val="superscript"/>
          <w:rtl/>
        </w:rPr>
        <w:t xml:space="preserve">( </w:t>
      </w:r>
      <w:r w:rsidR="007925D6">
        <w:rPr>
          <w:rStyle w:val="FootnoteReference"/>
          <w:rtl/>
        </w:rPr>
        <w:footnoteReference w:id="27"/>
      </w:r>
      <w:r w:rsidR="007925D6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EB34E5" w:rsidRDefault="00EB34E5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القراءات لهارون بن حاتم الكوفي ( ت 249 هـ )</w:t>
      </w:r>
      <w:r w:rsidRPr="003F0705">
        <w:rPr>
          <w:vertAlign w:val="superscript"/>
          <w:rtl/>
        </w:rPr>
        <w:t xml:space="preserve"> </w:t>
      </w:r>
      <w:r w:rsidRPr="00583CBE">
        <w:rPr>
          <w:vertAlign w:val="superscript"/>
          <w:rtl/>
        </w:rPr>
        <w:t xml:space="preserve">( </w:t>
      </w:r>
      <w:r w:rsidRPr="00583CBE">
        <w:rPr>
          <w:rStyle w:val="FootnoteReference"/>
          <w:rtl/>
        </w:rPr>
        <w:footnoteReference w:id="28"/>
      </w:r>
      <w:r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EB34E5" w:rsidRDefault="00A974D9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القراءات ل</w:t>
      </w:r>
      <w:r w:rsidR="00EB34E5" w:rsidRPr="006D2F23">
        <w:rPr>
          <w:rtl/>
        </w:rPr>
        <w:t xml:space="preserve">إسحاق بن البهلول التنوخي </w:t>
      </w:r>
      <w:r>
        <w:rPr>
          <w:rFonts w:hint="cs"/>
          <w:rtl/>
        </w:rPr>
        <w:t xml:space="preserve">( </w:t>
      </w:r>
      <w:r w:rsidR="00EB34E5" w:rsidRPr="006D2F23">
        <w:rPr>
          <w:rtl/>
        </w:rPr>
        <w:t xml:space="preserve">ت 252 هـ </w:t>
      </w:r>
      <w:r>
        <w:rPr>
          <w:rFonts w:hint="cs"/>
          <w:rtl/>
        </w:rPr>
        <w:t xml:space="preserve">) </w:t>
      </w:r>
      <w:r w:rsidR="00EB34E5" w:rsidRPr="006D2F23">
        <w:rPr>
          <w:rtl/>
        </w:rPr>
        <w:t>ذكره الخطيب البغدادي</w:t>
      </w:r>
      <w:r w:rsidRPr="00583CBE">
        <w:rPr>
          <w:vertAlign w:val="superscript"/>
          <w:rtl/>
        </w:rPr>
        <w:t xml:space="preserve">( </w:t>
      </w:r>
      <w:r w:rsidRPr="00583CBE">
        <w:rPr>
          <w:rStyle w:val="FootnoteReference"/>
          <w:rtl/>
        </w:rPr>
        <w:footnoteReference w:id="29"/>
      </w:r>
      <w:r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EB34E5" w:rsidRPr="006D2F23">
        <w:rPr>
          <w:rtl/>
        </w:rPr>
        <w:t>.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القراءات لأبي حاتم سهل بن مُحَمَّد </w:t>
      </w:r>
      <w:r w:rsidR="00AD6A00">
        <w:rPr>
          <w:rFonts w:hint="cs"/>
          <w:rtl/>
        </w:rPr>
        <w:t>السجستاني</w:t>
      </w:r>
      <w:r w:rsidR="003A4063">
        <w:rPr>
          <w:rFonts w:hint="cs"/>
          <w:rtl/>
        </w:rPr>
        <w:t xml:space="preserve">                   </w:t>
      </w:r>
      <w:r>
        <w:rPr>
          <w:rFonts w:hint="cs"/>
          <w:rtl/>
        </w:rPr>
        <w:t>( ت 255 هـ )</w:t>
      </w:r>
      <w:r w:rsidR="00AD6A00" w:rsidRPr="00AD6A00">
        <w:rPr>
          <w:vertAlign w:val="superscript"/>
          <w:rtl/>
        </w:rPr>
        <w:t xml:space="preserve"> </w:t>
      </w:r>
      <w:r w:rsidR="00AD6A00" w:rsidRPr="00583CBE">
        <w:rPr>
          <w:vertAlign w:val="superscript"/>
          <w:rtl/>
        </w:rPr>
        <w:t xml:space="preserve">( </w:t>
      </w:r>
      <w:r w:rsidR="00AD6A00" w:rsidRPr="00583CBE">
        <w:rPr>
          <w:rStyle w:val="FootnoteReference"/>
          <w:rtl/>
        </w:rPr>
        <w:footnoteReference w:id="30"/>
      </w:r>
      <w:r w:rsidR="00AD6A00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القراءات لإسماعيل بن إسحاق القاضي </w:t>
      </w:r>
      <w:r w:rsidR="009D6650">
        <w:rPr>
          <w:snapToGrid w:val="0"/>
          <w:sz w:val="24"/>
          <w:rtl/>
        </w:rPr>
        <w:t>الجهضمي ال</w:t>
      </w:r>
      <w:r w:rsidR="009D6650">
        <w:rPr>
          <w:rFonts w:hint="cs"/>
          <w:snapToGrid w:val="0"/>
          <w:sz w:val="24"/>
          <w:rtl/>
        </w:rPr>
        <w:t>أ</w:t>
      </w:r>
      <w:r w:rsidR="00D31A9E" w:rsidRPr="00A42DC6">
        <w:rPr>
          <w:snapToGrid w:val="0"/>
          <w:sz w:val="24"/>
          <w:rtl/>
        </w:rPr>
        <w:t xml:space="preserve">زدي </w:t>
      </w:r>
      <w:r w:rsidR="00D70DCB">
        <w:rPr>
          <w:rFonts w:hint="cs"/>
          <w:snapToGrid w:val="0"/>
          <w:sz w:val="24"/>
          <w:rtl/>
        </w:rPr>
        <w:lastRenderedPageBreak/>
        <w:t>المالكي</w:t>
      </w:r>
      <w:r w:rsidR="00D31A9E">
        <w:rPr>
          <w:rFonts w:hint="cs"/>
          <w:snapToGrid w:val="0"/>
          <w:sz w:val="24"/>
          <w:rtl/>
        </w:rPr>
        <w:t xml:space="preserve"> </w:t>
      </w:r>
      <w:r>
        <w:rPr>
          <w:rFonts w:hint="cs"/>
          <w:rtl/>
        </w:rPr>
        <w:t>( ت 282 هـ )</w:t>
      </w:r>
      <w:r w:rsidR="00AD6A00" w:rsidRPr="00AD6A00">
        <w:rPr>
          <w:vertAlign w:val="superscript"/>
          <w:rtl/>
        </w:rPr>
        <w:t xml:space="preserve"> </w:t>
      </w:r>
      <w:r w:rsidR="00AD6A00" w:rsidRPr="00583CBE">
        <w:rPr>
          <w:vertAlign w:val="superscript"/>
          <w:rtl/>
        </w:rPr>
        <w:t xml:space="preserve">( </w:t>
      </w:r>
      <w:r w:rsidR="00AD6A00" w:rsidRPr="00583CBE">
        <w:rPr>
          <w:rStyle w:val="FootnoteReference"/>
          <w:rtl/>
        </w:rPr>
        <w:footnoteReference w:id="31"/>
      </w:r>
      <w:r w:rsidR="00AD6A00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9D6650">
        <w:rPr>
          <w:rFonts w:hint="cs"/>
          <w:rtl/>
        </w:rPr>
        <w:t>.</w:t>
      </w:r>
    </w:p>
    <w:p w:rsidR="00906D28" w:rsidRDefault="00906D28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</w:t>
      </w:r>
      <w:r w:rsidRPr="00906D28">
        <w:rPr>
          <w:rtl/>
        </w:rPr>
        <w:t>احتجاج القراءات</w:t>
      </w:r>
      <w:r w:rsidRPr="006D2F23">
        <w:rPr>
          <w:rtl/>
        </w:rPr>
        <w:t xml:space="preserve"> لمحمد بن يزيد المبرد </w:t>
      </w:r>
      <w:r>
        <w:rPr>
          <w:rFonts w:hint="cs"/>
          <w:rtl/>
        </w:rPr>
        <w:t xml:space="preserve">( </w:t>
      </w:r>
      <w:r w:rsidRPr="006D2F23">
        <w:rPr>
          <w:rtl/>
        </w:rPr>
        <w:t xml:space="preserve">ت 285 هـ </w:t>
      </w:r>
      <w:r>
        <w:rPr>
          <w:rFonts w:hint="cs"/>
          <w:rtl/>
        </w:rPr>
        <w:t xml:space="preserve">) </w:t>
      </w:r>
      <w:r w:rsidRPr="006D2F23">
        <w:rPr>
          <w:rtl/>
        </w:rPr>
        <w:t>ذكره ابن النديم</w:t>
      </w:r>
      <w:r w:rsidR="0010431C" w:rsidRPr="00583CBE">
        <w:rPr>
          <w:vertAlign w:val="superscript"/>
          <w:rtl/>
        </w:rPr>
        <w:t xml:space="preserve">( </w:t>
      </w:r>
      <w:r w:rsidR="0010431C" w:rsidRPr="00583CBE">
        <w:rPr>
          <w:rStyle w:val="FootnoteReference"/>
          <w:rtl/>
        </w:rPr>
        <w:footnoteReference w:id="32"/>
      </w:r>
      <w:r w:rsidR="0010431C" w:rsidRPr="00583CBE">
        <w:rPr>
          <w:vertAlign w:val="superscript"/>
          <w:rtl/>
        </w:rPr>
        <w:t xml:space="preserve"> )</w:t>
      </w:r>
      <w:r w:rsidR="00EC0ED2"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AC7E6F" w:rsidRDefault="00DA37E3" w:rsidP="0032442D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 xml:space="preserve">كتاب القراءات للفضل بن شاذان </w:t>
      </w:r>
      <w:r w:rsidR="00AC7E6F">
        <w:rPr>
          <w:rFonts w:ascii="Simplified Arabic" w:hint="eastAsia"/>
          <w:color w:val="000000"/>
          <w:rtl/>
          <w:lang w:bidi="ar-IQ"/>
        </w:rPr>
        <w:t>بن</w:t>
      </w:r>
      <w:r w:rsidR="00AC7E6F">
        <w:rPr>
          <w:rFonts w:ascii="Simplified Arabic"/>
          <w:color w:val="000000"/>
          <w:rtl/>
          <w:lang w:bidi="ar-IQ"/>
        </w:rPr>
        <w:t xml:space="preserve"> </w:t>
      </w:r>
      <w:r w:rsidR="00AC7E6F">
        <w:rPr>
          <w:rFonts w:ascii="Simplified Arabic" w:hint="eastAsia"/>
          <w:color w:val="000000"/>
          <w:rtl/>
          <w:lang w:bidi="ar-IQ"/>
        </w:rPr>
        <w:t>عيسى،</w:t>
      </w:r>
      <w:r w:rsidR="00AC7E6F">
        <w:rPr>
          <w:rFonts w:ascii="Simplified Arabic"/>
          <w:color w:val="000000"/>
          <w:rtl/>
          <w:lang w:bidi="ar-IQ"/>
        </w:rPr>
        <w:t xml:space="preserve"> </w:t>
      </w:r>
      <w:r w:rsidR="00AC7E6F">
        <w:rPr>
          <w:rFonts w:ascii="Simplified Arabic" w:hint="eastAsia"/>
          <w:color w:val="000000"/>
          <w:rtl/>
          <w:lang w:bidi="ar-IQ"/>
        </w:rPr>
        <w:t>أبو</w:t>
      </w:r>
      <w:r w:rsidR="00AC7E6F">
        <w:rPr>
          <w:rFonts w:ascii="Simplified Arabic"/>
          <w:color w:val="000000"/>
          <w:rtl/>
          <w:lang w:bidi="ar-IQ"/>
        </w:rPr>
        <w:t xml:space="preserve"> </w:t>
      </w:r>
      <w:r w:rsidR="00AC7E6F">
        <w:rPr>
          <w:rFonts w:ascii="Simplified Arabic" w:hint="eastAsia"/>
          <w:color w:val="000000"/>
          <w:rtl/>
          <w:lang w:bidi="ar-IQ"/>
        </w:rPr>
        <w:t>العباس</w:t>
      </w:r>
      <w:r w:rsidR="00AC7E6F">
        <w:rPr>
          <w:rFonts w:ascii="Simplified Arabic"/>
          <w:color w:val="000000"/>
          <w:rtl/>
          <w:lang w:bidi="ar-IQ"/>
        </w:rPr>
        <w:t xml:space="preserve"> </w:t>
      </w:r>
      <w:r w:rsidR="00AC7E6F">
        <w:rPr>
          <w:rFonts w:ascii="Simplified Arabic" w:hint="eastAsia"/>
          <w:color w:val="000000"/>
          <w:rtl/>
          <w:lang w:bidi="ar-IQ"/>
        </w:rPr>
        <w:t>الرازي</w:t>
      </w:r>
      <w:r w:rsidR="00AC7E6F">
        <w:rPr>
          <w:rFonts w:ascii="Simplified Arabic"/>
          <w:color w:val="000000"/>
          <w:rtl/>
          <w:lang w:bidi="ar-IQ"/>
        </w:rPr>
        <w:t xml:space="preserve"> </w:t>
      </w:r>
      <w:r w:rsidR="00AC7E6F">
        <w:rPr>
          <w:rFonts w:ascii="Simplified Arabic" w:hint="eastAsia"/>
          <w:color w:val="000000"/>
          <w:rtl/>
          <w:lang w:bidi="ar-IQ"/>
        </w:rPr>
        <w:t>المقرئ</w:t>
      </w:r>
      <w:r w:rsidR="00AC7E6F">
        <w:rPr>
          <w:rFonts w:hint="cs"/>
          <w:rtl/>
        </w:rPr>
        <w:t xml:space="preserve"> </w:t>
      </w:r>
      <w:r>
        <w:rPr>
          <w:rFonts w:hint="cs"/>
          <w:rtl/>
        </w:rPr>
        <w:t>( ت 2</w:t>
      </w:r>
      <w:r w:rsidR="00AC7E6F">
        <w:rPr>
          <w:rFonts w:hint="cs"/>
          <w:rtl/>
        </w:rPr>
        <w:t>9</w:t>
      </w:r>
      <w:r>
        <w:rPr>
          <w:rFonts w:hint="cs"/>
          <w:rtl/>
        </w:rPr>
        <w:t>0 هـ )</w:t>
      </w:r>
      <w:r w:rsidR="002961FC" w:rsidRPr="002961FC">
        <w:rPr>
          <w:vertAlign w:val="superscript"/>
          <w:rtl/>
        </w:rPr>
        <w:t xml:space="preserve"> </w:t>
      </w:r>
      <w:r w:rsidR="002961FC" w:rsidRPr="00583CBE">
        <w:rPr>
          <w:vertAlign w:val="superscript"/>
          <w:rtl/>
        </w:rPr>
        <w:t xml:space="preserve">( </w:t>
      </w:r>
      <w:r w:rsidR="002961FC" w:rsidRPr="00583CBE">
        <w:rPr>
          <w:rStyle w:val="FootnoteReference"/>
          <w:rtl/>
        </w:rPr>
        <w:footnoteReference w:id="33"/>
      </w:r>
      <w:r w:rsidR="002961FC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  <w:r w:rsidR="00AC7E6F" w:rsidRPr="00AC7E6F">
        <w:rPr>
          <w:rFonts w:ascii="Simplified Arabic" w:hint="eastAsia"/>
          <w:color w:val="000000"/>
          <w:rtl/>
          <w:lang w:bidi="ar-IQ"/>
        </w:rPr>
        <w:t xml:space="preserve"> 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القراءات لثعلب النحوي ( ت 291 هـ )</w:t>
      </w:r>
      <w:r w:rsidR="00AD6A00" w:rsidRPr="00AD6A00">
        <w:rPr>
          <w:vertAlign w:val="superscript"/>
          <w:rtl/>
        </w:rPr>
        <w:t xml:space="preserve"> </w:t>
      </w:r>
      <w:r w:rsidR="00AD6A00" w:rsidRPr="00583CBE">
        <w:rPr>
          <w:vertAlign w:val="superscript"/>
          <w:rtl/>
        </w:rPr>
        <w:t xml:space="preserve">( </w:t>
      </w:r>
      <w:r w:rsidR="00AD6A00" w:rsidRPr="00583CBE">
        <w:rPr>
          <w:rStyle w:val="FootnoteReference"/>
          <w:rtl/>
        </w:rPr>
        <w:footnoteReference w:id="34"/>
      </w:r>
      <w:r w:rsidR="00AD6A00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AB019A" w:rsidRDefault="00AB019A" w:rsidP="0032442D">
      <w:pPr>
        <w:widowControl w:val="0"/>
        <w:spacing w:before="120"/>
        <w:ind w:firstLine="720"/>
        <w:jc w:val="mediumKashida"/>
        <w:rPr>
          <w:b/>
          <w:bCs/>
          <w:rtl/>
        </w:rPr>
      </w:pPr>
      <w:r w:rsidRPr="00AB019A">
        <w:rPr>
          <w:rFonts w:hint="cs"/>
          <w:rtl/>
        </w:rPr>
        <w:t xml:space="preserve">كتاب </w:t>
      </w:r>
      <w:r w:rsidRPr="00AB019A">
        <w:rPr>
          <w:rtl/>
        </w:rPr>
        <w:t>القراءات</w:t>
      </w:r>
      <w:r w:rsidRPr="006D2F23">
        <w:rPr>
          <w:rtl/>
        </w:rPr>
        <w:t xml:space="preserve"> لمحمد بن عيسى البياضي </w:t>
      </w:r>
      <w:r>
        <w:rPr>
          <w:rFonts w:hint="cs"/>
          <w:rtl/>
        </w:rPr>
        <w:t xml:space="preserve">( </w:t>
      </w:r>
      <w:r w:rsidRPr="006D2F23">
        <w:rPr>
          <w:rtl/>
        </w:rPr>
        <w:t xml:space="preserve">ت 294 هـ </w:t>
      </w:r>
      <w:r>
        <w:rPr>
          <w:rFonts w:hint="cs"/>
          <w:rtl/>
        </w:rPr>
        <w:t xml:space="preserve">) قتله القرامطة ، </w:t>
      </w:r>
      <w:r w:rsidRPr="006D2F23">
        <w:rPr>
          <w:rtl/>
        </w:rPr>
        <w:t>ذكره الخطيب البغدادي</w:t>
      </w:r>
      <w:r w:rsidRPr="00583CBE">
        <w:rPr>
          <w:vertAlign w:val="superscript"/>
          <w:rtl/>
        </w:rPr>
        <w:t xml:space="preserve">( </w:t>
      </w:r>
      <w:r w:rsidRPr="00583CBE">
        <w:rPr>
          <w:rStyle w:val="FootnoteReference"/>
          <w:rtl/>
        </w:rPr>
        <w:footnoteReference w:id="35"/>
      </w:r>
      <w:r w:rsidRPr="00583CBE">
        <w:rPr>
          <w:vertAlign w:val="superscript"/>
          <w:rtl/>
        </w:rPr>
        <w:t xml:space="preserve"> )</w:t>
      </w:r>
      <w:r w:rsidRPr="006D2F23">
        <w:rPr>
          <w:rtl/>
        </w:rPr>
        <w:t>.</w:t>
      </w:r>
    </w:p>
    <w:p w:rsidR="00DA37E3" w:rsidRDefault="00C25481" w:rsidP="00A1421C">
      <w:pPr>
        <w:widowControl w:val="0"/>
        <w:spacing w:before="120"/>
        <w:jc w:val="mediumKashida"/>
        <w:rPr>
          <w:rtl/>
        </w:rPr>
      </w:pPr>
      <w:r>
        <w:rPr>
          <w:rFonts w:hint="cs"/>
          <w:b/>
          <w:bCs/>
          <w:rtl/>
        </w:rPr>
        <w:t>و</w:t>
      </w:r>
      <w:r w:rsidR="00DA37E3" w:rsidRPr="005E42EE">
        <w:rPr>
          <w:rFonts w:hint="cs"/>
          <w:b/>
          <w:bCs/>
          <w:rtl/>
        </w:rPr>
        <w:t>أشهر الكتب التي ح</w:t>
      </w:r>
      <w:r w:rsidR="00DA37E3">
        <w:rPr>
          <w:rFonts w:hint="cs"/>
          <w:b/>
          <w:bCs/>
          <w:rtl/>
        </w:rPr>
        <w:t>م</w:t>
      </w:r>
      <w:r w:rsidR="00DA37E3" w:rsidRPr="005E42EE">
        <w:rPr>
          <w:rFonts w:hint="cs"/>
          <w:b/>
          <w:bCs/>
          <w:rtl/>
        </w:rPr>
        <w:t>لت عنوان الجامع في القراءات</w:t>
      </w:r>
      <w:r w:rsidR="00DA37E3">
        <w:rPr>
          <w:rFonts w:hint="cs"/>
          <w:rtl/>
        </w:rPr>
        <w:t xml:space="preserve"> :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الجامع في القراءات ليعقوب بن إسحاق الحضرمي </w:t>
      </w:r>
      <w:r w:rsidR="00B03B22">
        <w:rPr>
          <w:rFonts w:hint="cs"/>
          <w:rtl/>
        </w:rPr>
        <w:t xml:space="preserve">                        </w:t>
      </w:r>
      <w:r>
        <w:rPr>
          <w:rFonts w:hint="cs"/>
          <w:rtl/>
        </w:rPr>
        <w:t>( ت 205 هـ ) وهو مقرئ البصرة بعد أبي عمرو بن العلاء</w:t>
      </w:r>
      <w:r w:rsidR="00C25481" w:rsidRPr="00583CBE">
        <w:rPr>
          <w:vertAlign w:val="superscript"/>
          <w:rtl/>
        </w:rPr>
        <w:t xml:space="preserve">( </w:t>
      </w:r>
      <w:r w:rsidR="00C25481" w:rsidRPr="00583CBE">
        <w:rPr>
          <w:rStyle w:val="FootnoteReference"/>
          <w:rtl/>
        </w:rPr>
        <w:footnoteReference w:id="36"/>
      </w:r>
      <w:r w:rsidR="00C25481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A37E3" w:rsidRDefault="00DA37E3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الجامع في القراءات لمحمد بن يزيد بن رفاعة ( توفي بعد سنة 248 هـ )</w:t>
      </w:r>
      <w:r w:rsidR="00B03B22" w:rsidRPr="00B03B22">
        <w:rPr>
          <w:vertAlign w:val="superscript"/>
          <w:rtl/>
        </w:rPr>
        <w:t xml:space="preserve"> </w:t>
      </w:r>
      <w:r w:rsidR="00B03B22" w:rsidRPr="00583CBE">
        <w:rPr>
          <w:vertAlign w:val="superscript"/>
          <w:rtl/>
        </w:rPr>
        <w:t xml:space="preserve">( </w:t>
      </w:r>
      <w:r w:rsidR="00B03B22" w:rsidRPr="00583CBE">
        <w:rPr>
          <w:rStyle w:val="FootnoteReference"/>
          <w:rtl/>
        </w:rPr>
        <w:footnoteReference w:id="37"/>
      </w:r>
      <w:r w:rsidR="00B03B22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C318D" w:rsidRPr="00583CBE" w:rsidRDefault="00DA37E3" w:rsidP="0032442D">
      <w:pPr>
        <w:widowControl w:val="0"/>
        <w:tabs>
          <w:tab w:val="left" w:pos="3135"/>
        </w:tabs>
        <w:jc w:val="mediumKashida"/>
        <w:rPr>
          <w:rtl/>
        </w:rPr>
      </w:pPr>
      <w:r>
        <w:rPr>
          <w:rFonts w:hint="cs"/>
          <w:rtl/>
        </w:rPr>
        <w:t xml:space="preserve">الجامع في القراءات لمحمد بن عيسى </w:t>
      </w:r>
      <w:r w:rsidR="004C318D" w:rsidRPr="00583CBE">
        <w:rPr>
          <w:rtl/>
        </w:rPr>
        <w:t xml:space="preserve">ابن أبي رزين التيمي الرَّازِيّ </w:t>
      </w:r>
      <w:r w:rsidR="004C318D">
        <w:rPr>
          <w:rFonts w:hint="cs"/>
          <w:rtl/>
        </w:rPr>
        <w:t xml:space="preserve">               </w:t>
      </w:r>
      <w:r>
        <w:rPr>
          <w:rFonts w:hint="cs"/>
          <w:rtl/>
        </w:rPr>
        <w:lastRenderedPageBreak/>
        <w:t>(</w:t>
      </w:r>
      <w:r w:rsidR="00977F6F">
        <w:rPr>
          <w:rFonts w:hint="cs"/>
          <w:rtl/>
        </w:rPr>
        <w:t xml:space="preserve"> </w:t>
      </w:r>
      <w:r>
        <w:rPr>
          <w:rFonts w:hint="cs"/>
          <w:rtl/>
        </w:rPr>
        <w:t>ت 253 هـ)</w:t>
      </w:r>
      <w:r w:rsidR="00B03B22" w:rsidRPr="00B03B22">
        <w:rPr>
          <w:vertAlign w:val="superscript"/>
          <w:rtl/>
        </w:rPr>
        <w:t xml:space="preserve"> </w:t>
      </w:r>
      <w:r w:rsidR="00B03B22" w:rsidRPr="00583CBE">
        <w:rPr>
          <w:vertAlign w:val="superscript"/>
          <w:rtl/>
        </w:rPr>
        <w:t xml:space="preserve">( </w:t>
      </w:r>
      <w:r w:rsidR="00B03B22" w:rsidRPr="00583CBE">
        <w:rPr>
          <w:rStyle w:val="FootnoteReference"/>
          <w:rtl/>
        </w:rPr>
        <w:footnoteReference w:id="38"/>
      </w:r>
      <w:r w:rsidR="00B03B22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4C318D">
        <w:rPr>
          <w:rFonts w:hint="cs"/>
          <w:rtl/>
        </w:rPr>
        <w:t>.</w:t>
      </w:r>
    </w:p>
    <w:p w:rsidR="00D45D6B" w:rsidRDefault="00D45D6B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الجامع في القراءات</w:t>
      </w:r>
      <w:r>
        <w:rPr>
          <w:rFonts w:hint="cs"/>
          <w:rtl/>
        </w:rPr>
        <w:t xml:space="preserve"> لمحمد بن عيسى التميمي </w:t>
      </w:r>
      <w:r w:rsidRPr="00C4751D">
        <w:rPr>
          <w:rFonts w:ascii="Simplified Arabic" w:hint="eastAsia"/>
          <w:rtl/>
          <w:lang w:bidi="ar-IQ"/>
        </w:rPr>
        <w:t>الأصبهاني</w:t>
      </w:r>
      <w:r w:rsidRPr="00C4751D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 xml:space="preserve">                 </w:t>
      </w:r>
      <w:r>
        <w:rPr>
          <w:rFonts w:hint="cs"/>
          <w:rtl/>
        </w:rPr>
        <w:t>( ت 253 هـ )</w:t>
      </w:r>
      <w:r w:rsidRPr="00CA26AF">
        <w:rPr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9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E3E72" w:rsidRDefault="007E3E72" w:rsidP="00AA0603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وألف أحمد بن جبير الكوفي نزيل إنطاكية ( ت 258 هـ ) كتاباً على غير التسميتين السابقتين سماه ( القراءات الخمس ) أو ( قراءات الخمس ) ، وكلّ ما قاله عنه علماء القراءات</w:t>
      </w:r>
      <w:r w:rsidR="009C152B">
        <w:rPr>
          <w:rFonts w:hint="cs"/>
          <w:rtl/>
        </w:rPr>
        <w:t xml:space="preserve"> </w:t>
      </w:r>
      <w:r>
        <w:rPr>
          <w:rFonts w:hint="cs"/>
          <w:rtl/>
        </w:rPr>
        <w:t xml:space="preserve">: </w:t>
      </w:r>
      <w:r w:rsidR="009C152B">
        <w:rPr>
          <w:rFonts w:hint="cs"/>
          <w:rtl/>
        </w:rPr>
        <w:t>إ</w:t>
      </w:r>
      <w:r>
        <w:rPr>
          <w:rFonts w:hint="cs"/>
          <w:rtl/>
        </w:rPr>
        <w:t>نه ضمنه قراءات خمسة من القراء ، فاختار من كل مصر من الأمصار الخمسة مقر</w:t>
      </w:r>
      <w:r w:rsidR="00AA0603">
        <w:rPr>
          <w:rFonts w:hint="cs"/>
          <w:rtl/>
        </w:rPr>
        <w:t>ئ</w:t>
      </w:r>
      <w:r>
        <w:rPr>
          <w:rFonts w:hint="cs"/>
          <w:rtl/>
        </w:rPr>
        <w:t xml:space="preserve">اً ، ولم </w:t>
      </w:r>
      <w:r w:rsidR="001C40C9">
        <w:rPr>
          <w:rFonts w:hint="cs"/>
          <w:rtl/>
        </w:rPr>
        <w:t xml:space="preserve">يذكروا </w:t>
      </w:r>
      <w:r>
        <w:rPr>
          <w:rFonts w:hint="cs"/>
          <w:rtl/>
        </w:rPr>
        <w:t>أسماء القراء الذين اختارهم</w:t>
      </w:r>
      <w:r w:rsidR="00D45D6B" w:rsidRPr="00583CBE">
        <w:rPr>
          <w:vertAlign w:val="superscript"/>
          <w:rtl/>
        </w:rPr>
        <w:t xml:space="preserve">( </w:t>
      </w:r>
      <w:r w:rsidR="00D45D6B" w:rsidRPr="00583CBE">
        <w:rPr>
          <w:rStyle w:val="FootnoteReference"/>
          <w:rtl/>
        </w:rPr>
        <w:footnoteReference w:id="40"/>
      </w:r>
      <w:r w:rsidR="00D45D6B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   </w:t>
      </w:r>
    </w:p>
    <w:p w:rsidR="007E3E72" w:rsidRDefault="007E3E72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ملامح هذه المرحلة :</w:t>
      </w:r>
    </w:p>
    <w:p w:rsidR="007E3E72" w:rsidRDefault="007E3E72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المتتبع لحركة التأليف في القراءات في هذه المرحلة يلاحظ ما يأتي:</w:t>
      </w:r>
    </w:p>
    <w:p w:rsidR="007E3E72" w:rsidRDefault="007E3E72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إن المؤلفين جلّهم عراقيون ، وإن أكثرهم من قراء أهل الكوفة ، ويأتي بعدهم من حيث العدد أهل البصرة ، وأن اقلهم من قراء بغداد ويرجع ذلك إِلى ثلاثة عوامل :</w:t>
      </w:r>
    </w:p>
    <w:p w:rsidR="007E3E72" w:rsidRDefault="007E3E72" w:rsidP="0032442D">
      <w:pPr>
        <w:pStyle w:val="ListParagraph"/>
        <w:widowControl w:val="0"/>
        <w:numPr>
          <w:ilvl w:val="0"/>
          <w:numId w:val="1"/>
        </w:numPr>
        <w:spacing w:before="120"/>
        <w:jc w:val="mediumKashida"/>
        <w:rPr>
          <w:rtl/>
        </w:rPr>
      </w:pPr>
      <w:r>
        <w:rPr>
          <w:rFonts w:hint="cs"/>
          <w:rtl/>
        </w:rPr>
        <w:t>إن أجيال القراء في القرن الأول من قراء التابعين كان أكثرهم من أهل الكوفة .</w:t>
      </w:r>
    </w:p>
    <w:p w:rsidR="007E3E72" w:rsidRDefault="007E3E72" w:rsidP="0032442D">
      <w:pPr>
        <w:pStyle w:val="ListParagraph"/>
        <w:widowControl w:val="0"/>
        <w:numPr>
          <w:ilvl w:val="0"/>
          <w:numId w:val="1"/>
        </w:numPr>
        <w:spacing w:before="120"/>
        <w:jc w:val="mediumKashida"/>
        <w:rPr>
          <w:rtl/>
        </w:rPr>
      </w:pPr>
      <w:r>
        <w:rPr>
          <w:rFonts w:hint="cs"/>
          <w:rtl/>
        </w:rPr>
        <w:t>إن أهل البصرة ركزوا اهتمامهم في القرن الأول في نقط المصاحف، والاهتمام بالناحية النحوية ولاسيما تلامي</w:t>
      </w:r>
      <w:r w:rsidR="00AA0603">
        <w:rPr>
          <w:rFonts w:hint="cs"/>
          <w:rtl/>
        </w:rPr>
        <w:t>ذ</w:t>
      </w:r>
      <w:r>
        <w:rPr>
          <w:rFonts w:hint="cs"/>
          <w:rtl/>
        </w:rPr>
        <w:t xml:space="preserve"> أبي الأسود الدؤلي .</w:t>
      </w:r>
    </w:p>
    <w:p w:rsidR="007E3E72" w:rsidRDefault="007E3E72" w:rsidP="0032442D">
      <w:pPr>
        <w:pStyle w:val="ListParagraph"/>
        <w:widowControl w:val="0"/>
        <w:numPr>
          <w:ilvl w:val="0"/>
          <w:numId w:val="1"/>
        </w:numPr>
        <w:spacing w:before="120"/>
        <w:jc w:val="mediumKashida"/>
        <w:rPr>
          <w:rtl/>
        </w:rPr>
      </w:pPr>
      <w:r>
        <w:rPr>
          <w:rFonts w:hint="cs"/>
          <w:rtl/>
        </w:rPr>
        <w:t xml:space="preserve">إن جلّ قراء بغداد في القرن الثاني كانوا من قراء الكوفة الوافدين </w:t>
      </w:r>
      <w:r>
        <w:rPr>
          <w:rFonts w:hint="cs"/>
          <w:rtl/>
        </w:rPr>
        <w:lastRenderedPageBreak/>
        <w:t>على دار السلام بعد تأسيسها سنة ( 145 هـ )</w:t>
      </w:r>
      <w:r w:rsidRPr="00C61323"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41"/>
      </w:r>
      <w:r w:rsidRPr="00C61323">
        <w:rPr>
          <w:vertAlign w:val="superscript"/>
          <w:rtl/>
        </w:rPr>
        <w:t xml:space="preserve"> )</w:t>
      </w:r>
      <w:r w:rsidRPr="0018798A">
        <w:rPr>
          <w:rFonts w:hint="cs"/>
          <w:rtl/>
        </w:rPr>
        <w:t xml:space="preserve"> </w:t>
      </w:r>
      <w:r>
        <w:rPr>
          <w:rFonts w:hint="cs"/>
          <w:rtl/>
        </w:rPr>
        <w:t>.</w:t>
      </w:r>
    </w:p>
    <w:p w:rsidR="00F33147" w:rsidRDefault="004717D4" w:rsidP="0032442D">
      <w:pPr>
        <w:widowControl w:val="0"/>
        <w:spacing w:before="120"/>
        <w:jc w:val="mediumKashida"/>
        <w:rPr>
          <w:rtl/>
        </w:rPr>
      </w:pPr>
      <w:r>
        <w:rPr>
          <w:rFonts w:hint="cs"/>
          <w:b/>
          <w:bCs/>
          <w:rtl/>
        </w:rPr>
        <w:t xml:space="preserve">5 ـ </w:t>
      </w:r>
      <w:r w:rsidRPr="00303E18">
        <w:rPr>
          <w:rFonts w:hint="cs"/>
          <w:b/>
          <w:bCs/>
          <w:rtl/>
        </w:rPr>
        <w:t xml:space="preserve">حركة التأليف في التجويد </w:t>
      </w:r>
      <w:r>
        <w:rPr>
          <w:rFonts w:hint="cs"/>
          <w:rtl/>
        </w:rPr>
        <w:t>:</w:t>
      </w:r>
    </w:p>
    <w:p w:rsidR="00C61323" w:rsidRDefault="004717D4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بدأت حركة التأليف في القرن الثالث الهجري ، إذ ألف قطرب مُحَمَّد بن المستنير كتاباً أسماه ( الأصوات )</w:t>
      </w:r>
      <w:r w:rsidR="00C61323" w:rsidRPr="00C61323">
        <w:rPr>
          <w:vertAlign w:val="superscript"/>
          <w:rtl/>
        </w:rPr>
        <w:t xml:space="preserve"> </w:t>
      </w:r>
      <w:r w:rsidR="00E82636" w:rsidRPr="00583CBE">
        <w:rPr>
          <w:vertAlign w:val="superscript"/>
          <w:rtl/>
        </w:rPr>
        <w:t xml:space="preserve">( </w:t>
      </w:r>
      <w:r w:rsidR="00E82636" w:rsidRPr="00583CBE">
        <w:rPr>
          <w:rStyle w:val="FootnoteReference"/>
          <w:rtl/>
        </w:rPr>
        <w:footnoteReference w:id="42"/>
      </w:r>
      <w:r w:rsidR="00E82636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C61323">
        <w:rPr>
          <w:rFonts w:hint="cs"/>
          <w:rtl/>
        </w:rPr>
        <w:t>.</w:t>
      </w:r>
    </w:p>
    <w:p w:rsidR="00C61323" w:rsidRDefault="004717D4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وتبعه الأصمعي </w:t>
      </w:r>
      <w:r w:rsidR="00E82636">
        <w:rPr>
          <w:rFonts w:hint="cs"/>
          <w:rtl/>
        </w:rPr>
        <w:t xml:space="preserve">، </w:t>
      </w:r>
      <w:r w:rsidR="00E82636">
        <w:rPr>
          <w:sz w:val="24"/>
          <w:rtl/>
        </w:rPr>
        <w:t xml:space="preserve">عبد الملك بن قريب </w:t>
      </w:r>
      <w:r>
        <w:rPr>
          <w:rFonts w:hint="cs"/>
          <w:rtl/>
        </w:rPr>
        <w:t>( ت 216 هـ )</w:t>
      </w:r>
      <w:r w:rsidR="00C61323" w:rsidRPr="00C61323">
        <w:rPr>
          <w:vertAlign w:val="superscript"/>
          <w:rtl/>
        </w:rPr>
        <w:t xml:space="preserve"> </w:t>
      </w:r>
      <w:r w:rsidR="00E82636" w:rsidRPr="00583CBE">
        <w:rPr>
          <w:vertAlign w:val="superscript"/>
          <w:rtl/>
        </w:rPr>
        <w:t xml:space="preserve">( </w:t>
      </w:r>
      <w:r w:rsidR="00E82636" w:rsidRPr="00583CBE">
        <w:rPr>
          <w:rStyle w:val="FootnoteReference"/>
          <w:rtl/>
        </w:rPr>
        <w:footnoteReference w:id="43"/>
      </w:r>
      <w:r w:rsidR="00E82636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C61323">
        <w:rPr>
          <w:rFonts w:hint="cs"/>
          <w:rtl/>
        </w:rPr>
        <w:t xml:space="preserve">. </w:t>
      </w:r>
      <w:r>
        <w:rPr>
          <w:rFonts w:hint="cs"/>
          <w:rtl/>
        </w:rPr>
        <w:t>والأخفش الأوسط سعيد بن مسعدة ( ت 215 هـ ) فألف كل واحد منهما كتاباً في الأصوات</w:t>
      </w:r>
      <w:r w:rsidR="003D0C5C" w:rsidRPr="00583CBE">
        <w:rPr>
          <w:vertAlign w:val="superscript"/>
          <w:rtl/>
        </w:rPr>
        <w:t xml:space="preserve">( </w:t>
      </w:r>
      <w:r w:rsidR="003D0C5C" w:rsidRPr="00583CBE">
        <w:rPr>
          <w:rStyle w:val="FootnoteReference"/>
          <w:rtl/>
        </w:rPr>
        <w:footnoteReference w:id="44"/>
      </w:r>
      <w:r w:rsidR="003D0C5C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C61323">
        <w:rPr>
          <w:rFonts w:hint="cs"/>
          <w:rtl/>
        </w:rPr>
        <w:t>.</w:t>
      </w:r>
    </w:p>
    <w:p w:rsidR="004717D4" w:rsidRDefault="004717D4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ويليهم أبو حاتم السجستاني( ت 255 هـ ) بكتابه ( الإدغام )</w:t>
      </w:r>
      <w:r w:rsidR="003D0C5C" w:rsidRPr="003D0C5C">
        <w:rPr>
          <w:vertAlign w:val="superscript"/>
          <w:rtl/>
        </w:rPr>
        <w:t xml:space="preserve"> </w:t>
      </w:r>
      <w:r w:rsidR="003D0C5C" w:rsidRPr="00583CBE">
        <w:rPr>
          <w:vertAlign w:val="superscript"/>
          <w:rtl/>
        </w:rPr>
        <w:t xml:space="preserve">( </w:t>
      </w:r>
      <w:r w:rsidR="003D0C5C" w:rsidRPr="00583CBE">
        <w:rPr>
          <w:rStyle w:val="FootnoteReference"/>
          <w:rtl/>
        </w:rPr>
        <w:footnoteReference w:id="45"/>
      </w:r>
      <w:r w:rsidR="003D0C5C" w:rsidRPr="00583CBE">
        <w:rPr>
          <w:vertAlign w:val="superscript"/>
          <w:rtl/>
        </w:rPr>
        <w:t xml:space="preserve"> )</w:t>
      </w:r>
    </w:p>
    <w:p w:rsidR="000C6836" w:rsidRDefault="00AC04D1" w:rsidP="0032442D">
      <w:pPr>
        <w:widowControl w:val="0"/>
        <w:spacing w:before="120"/>
        <w:jc w:val="mediumKashida"/>
        <w:rPr>
          <w:rtl/>
        </w:rPr>
      </w:pPr>
      <w:r w:rsidRPr="00C61323">
        <w:rPr>
          <w:rFonts w:hint="cs"/>
          <w:b/>
          <w:bCs/>
          <w:rtl/>
        </w:rPr>
        <w:t>6 ـ علم الوقف والابتداء</w:t>
      </w:r>
      <w:r>
        <w:rPr>
          <w:rFonts w:hint="cs"/>
          <w:rtl/>
        </w:rPr>
        <w:t xml:space="preserve"> :</w:t>
      </w:r>
    </w:p>
    <w:p w:rsidR="00AC04D1" w:rsidRDefault="00AC04D1" w:rsidP="00AA0603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جلّ الكتب المؤلفة في علم الوقف والابتداء تكاد تنحصر في أهل العراق كوفيين وبغداديين ولاسيما في القرنين الثاني والثالث الهجريين ، وهذا لا يعني أن غيرهم لم يؤلف قط </w:t>
      </w:r>
      <w:r w:rsidR="00202DE6">
        <w:rPr>
          <w:rFonts w:hint="cs"/>
          <w:rtl/>
        </w:rPr>
        <w:t xml:space="preserve">، ولكن </w:t>
      </w:r>
      <w:r>
        <w:rPr>
          <w:rFonts w:hint="cs"/>
          <w:rtl/>
        </w:rPr>
        <w:t>اقتضت إرادة الله تعالى أن يكرم هذا البلد بحمل رسالة القرآن والدفاع عنه ، والتأليف في علومه .</w:t>
      </w:r>
      <w:r w:rsidR="00202DE6">
        <w:rPr>
          <w:rFonts w:hint="cs"/>
          <w:rtl/>
        </w:rPr>
        <w:t xml:space="preserve"> ف</w:t>
      </w:r>
      <w:r>
        <w:rPr>
          <w:rFonts w:hint="cs"/>
          <w:rtl/>
        </w:rPr>
        <w:t>التأليف في علم الوقف والابتداء في هذين القرنين قلما نهد في غير العراق .</w:t>
      </w:r>
    </w:p>
    <w:p w:rsidR="005E10F7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وقد ألف في ( وقف التمام ) </w:t>
      </w:r>
      <w:r w:rsidR="005E10F7" w:rsidRPr="006D2F23">
        <w:rPr>
          <w:rtl/>
        </w:rPr>
        <w:t xml:space="preserve">روح بن عبد المؤمن أبي الحسن الهذلي المقرئ النحوي </w:t>
      </w:r>
      <w:r w:rsidR="005E10F7">
        <w:rPr>
          <w:rFonts w:hint="cs"/>
          <w:rtl/>
        </w:rPr>
        <w:t xml:space="preserve">( </w:t>
      </w:r>
      <w:r w:rsidR="005E10F7" w:rsidRPr="006D2F23">
        <w:rPr>
          <w:rtl/>
        </w:rPr>
        <w:t>ت 234 هـ</w:t>
      </w:r>
      <w:r w:rsidR="005E10F7">
        <w:rPr>
          <w:rFonts w:hint="cs"/>
          <w:rtl/>
        </w:rPr>
        <w:t xml:space="preserve"> )</w:t>
      </w:r>
      <w:r w:rsidR="00E96C71" w:rsidRPr="00583CBE">
        <w:rPr>
          <w:vertAlign w:val="superscript"/>
          <w:rtl/>
        </w:rPr>
        <w:t xml:space="preserve"> </w:t>
      </w:r>
      <w:r w:rsidR="005E10F7" w:rsidRPr="00583CBE">
        <w:rPr>
          <w:vertAlign w:val="superscript"/>
          <w:rtl/>
        </w:rPr>
        <w:t xml:space="preserve">( </w:t>
      </w:r>
      <w:r w:rsidR="005E10F7" w:rsidRPr="00583CBE">
        <w:rPr>
          <w:rStyle w:val="FootnoteReference"/>
          <w:rtl/>
        </w:rPr>
        <w:footnoteReference w:id="46"/>
      </w:r>
      <w:r w:rsidR="005E10F7" w:rsidRPr="00583CBE">
        <w:rPr>
          <w:vertAlign w:val="superscript"/>
          <w:rtl/>
        </w:rPr>
        <w:t xml:space="preserve"> )</w:t>
      </w:r>
      <w:r w:rsidR="005E10F7">
        <w:rPr>
          <w:rFonts w:hint="cs"/>
          <w:rtl/>
        </w:rPr>
        <w:t xml:space="preserve"> </w:t>
      </w:r>
      <w:r w:rsidR="005E10F7" w:rsidRPr="006D2F23">
        <w:rPr>
          <w:rtl/>
        </w:rPr>
        <w:t>.</w:t>
      </w:r>
    </w:p>
    <w:p w:rsidR="00AC04D1" w:rsidRDefault="005E10F7" w:rsidP="00AA0603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و</w:t>
      </w:r>
      <w:r w:rsidR="00AC04D1">
        <w:rPr>
          <w:rFonts w:hint="cs"/>
          <w:rtl/>
        </w:rPr>
        <w:t>يعقوب بن إسحاق الحضرمي ( ت 205 هـ ) وكان إمام أهل البصرة بعد أبي عمرو بن العلاء</w:t>
      </w:r>
      <w:r w:rsidR="009C0158" w:rsidRPr="009C0158">
        <w:rPr>
          <w:rFonts w:hint="cs"/>
          <w:rtl/>
        </w:rPr>
        <w:t xml:space="preserve"> </w:t>
      </w:r>
      <w:r w:rsidR="009C0158">
        <w:rPr>
          <w:rFonts w:hint="cs"/>
          <w:rtl/>
        </w:rPr>
        <w:t xml:space="preserve"> يعقوب بن إسحاق</w:t>
      </w:r>
      <w:r w:rsidR="00AA0603">
        <w:rPr>
          <w:rFonts w:hint="cs"/>
          <w:rtl/>
        </w:rPr>
        <w:t xml:space="preserve"> ،</w:t>
      </w:r>
      <w:r w:rsidR="008A2180">
        <w:rPr>
          <w:rFonts w:hint="cs"/>
          <w:rtl/>
        </w:rPr>
        <w:t xml:space="preserve"> </w:t>
      </w:r>
      <w:r w:rsidR="00AC04D1">
        <w:rPr>
          <w:rFonts w:hint="cs"/>
          <w:rtl/>
        </w:rPr>
        <w:t>وقد وصفه  تلميذه في القراءات أبو حاتم السجستاني بقوله : " يعقوب بن إسحاق من أهل بيت العلم بالقرآن والعربية وكلام العرب والرواية الكثيرة والحروف والفقه "</w:t>
      </w:r>
      <w:r w:rsidR="009C0158" w:rsidRPr="00583CBE">
        <w:rPr>
          <w:vertAlign w:val="superscript"/>
          <w:rtl/>
        </w:rPr>
        <w:t xml:space="preserve">( </w:t>
      </w:r>
      <w:r w:rsidR="009C0158" w:rsidRPr="00583CBE">
        <w:rPr>
          <w:rStyle w:val="FootnoteReference"/>
          <w:rtl/>
        </w:rPr>
        <w:footnoteReference w:id="47"/>
      </w:r>
      <w:r w:rsidR="009C0158" w:rsidRPr="00583CBE">
        <w:rPr>
          <w:vertAlign w:val="superscript"/>
          <w:rtl/>
        </w:rPr>
        <w:t xml:space="preserve"> )</w:t>
      </w:r>
      <w:r w:rsidR="00AC04D1">
        <w:rPr>
          <w:rFonts w:hint="cs"/>
          <w:rtl/>
        </w:rPr>
        <w:t xml:space="preserve"> .</w:t>
      </w:r>
    </w:p>
    <w:p w:rsidR="00DB23CD" w:rsidRDefault="00DB23CD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والوقف والابتداء </w:t>
      </w:r>
      <w:r w:rsidRPr="006D2F23">
        <w:rPr>
          <w:rtl/>
        </w:rPr>
        <w:t xml:space="preserve">ليحيى بن المبارك بن المغيرة العدوي اليزيدي المقرئ </w:t>
      </w:r>
      <w:r>
        <w:rPr>
          <w:rFonts w:hint="cs"/>
          <w:rtl/>
        </w:rPr>
        <w:t xml:space="preserve">( </w:t>
      </w:r>
      <w:r w:rsidRPr="006D2F23">
        <w:rPr>
          <w:rtl/>
        </w:rPr>
        <w:t>ت 202</w:t>
      </w:r>
      <w:r>
        <w:rPr>
          <w:rFonts w:hint="cs"/>
          <w:rtl/>
        </w:rPr>
        <w:t xml:space="preserve"> )</w:t>
      </w:r>
      <w:r w:rsidR="00420EDC" w:rsidRPr="00420EDC">
        <w:rPr>
          <w:vertAlign w:val="superscript"/>
          <w:rtl/>
        </w:rPr>
        <w:t xml:space="preserve"> </w:t>
      </w:r>
      <w:r w:rsidR="00420EDC" w:rsidRPr="00583CBE">
        <w:rPr>
          <w:vertAlign w:val="superscript"/>
          <w:rtl/>
        </w:rPr>
        <w:t xml:space="preserve">( </w:t>
      </w:r>
      <w:r w:rsidR="00420EDC" w:rsidRPr="00583CBE">
        <w:rPr>
          <w:rStyle w:val="FootnoteReference"/>
          <w:rtl/>
        </w:rPr>
        <w:footnoteReference w:id="48"/>
      </w:r>
      <w:r w:rsidR="00420EDC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وألف بعده الفراء يحيى بن زياد ( ت 207 هـ ) كتابا</w:t>
      </w:r>
      <w:r w:rsidR="008A2180">
        <w:rPr>
          <w:rFonts w:hint="cs"/>
          <w:rtl/>
        </w:rPr>
        <w:t>ً</w:t>
      </w:r>
      <w:r>
        <w:rPr>
          <w:rFonts w:hint="cs"/>
          <w:rtl/>
        </w:rPr>
        <w:t xml:space="preserve"> في الوقف والابتداء</w:t>
      </w:r>
      <w:r w:rsidR="009C0158">
        <w:rPr>
          <w:vertAlign w:val="superscript"/>
          <w:rtl/>
        </w:rPr>
        <w:t xml:space="preserve">( </w:t>
      </w:r>
      <w:r w:rsidR="009C0158">
        <w:rPr>
          <w:rStyle w:val="FootnoteReference"/>
          <w:rtl/>
        </w:rPr>
        <w:footnoteReference w:id="49"/>
      </w:r>
      <w:r w:rsidR="009C015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8A2180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وبعده ألف النحوي البصري المعروف الأخفش سعيد بن مسعدة           ( ت 215 هـ ) كتابه الموسوم بالوقف والابتداء</w:t>
      </w:r>
      <w:r w:rsidR="008049E4" w:rsidRPr="00583CBE">
        <w:rPr>
          <w:vertAlign w:val="superscript"/>
          <w:rtl/>
        </w:rPr>
        <w:t xml:space="preserve">( </w:t>
      </w:r>
      <w:r w:rsidR="008049E4" w:rsidRPr="00583CBE">
        <w:rPr>
          <w:rStyle w:val="FootnoteReference"/>
          <w:rtl/>
        </w:rPr>
        <w:footnoteReference w:id="50"/>
      </w:r>
      <w:r w:rsidR="008049E4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8A2180">
        <w:rPr>
          <w:rFonts w:hint="cs"/>
          <w:rtl/>
        </w:rPr>
        <w:t>.</w:t>
      </w:r>
    </w:p>
    <w:p w:rsidR="004416BF" w:rsidRDefault="004416BF" w:rsidP="0032442D">
      <w:pPr>
        <w:widowControl w:val="0"/>
        <w:spacing w:before="120"/>
        <w:ind w:firstLine="720"/>
        <w:jc w:val="mediumKashida"/>
        <w:rPr>
          <w:rtl/>
        </w:rPr>
      </w:pPr>
      <w:r w:rsidRPr="004416BF">
        <w:rPr>
          <w:rtl/>
        </w:rPr>
        <w:t>كتاب فيه حروف عاصم</w:t>
      </w:r>
      <w:r w:rsidRPr="006D2F23">
        <w:rPr>
          <w:rtl/>
        </w:rPr>
        <w:t xml:space="preserve"> </w:t>
      </w:r>
      <w:r>
        <w:rPr>
          <w:rFonts w:hint="cs"/>
          <w:rtl/>
        </w:rPr>
        <w:t xml:space="preserve"> </w:t>
      </w:r>
      <w:r w:rsidRPr="006D2F23">
        <w:rPr>
          <w:rtl/>
        </w:rPr>
        <w:t xml:space="preserve">لعمرو بن الصباح البغدادي </w:t>
      </w:r>
      <w:r w:rsidR="006810BC">
        <w:rPr>
          <w:rFonts w:hint="cs"/>
          <w:rtl/>
        </w:rPr>
        <w:t xml:space="preserve">                        </w:t>
      </w:r>
      <w:r>
        <w:rPr>
          <w:rFonts w:hint="cs"/>
          <w:rtl/>
        </w:rPr>
        <w:t xml:space="preserve">( </w:t>
      </w:r>
      <w:r w:rsidRPr="006D2F23">
        <w:rPr>
          <w:rtl/>
        </w:rPr>
        <w:t>ت 221 هـ</w:t>
      </w:r>
      <w:r>
        <w:rPr>
          <w:rFonts w:hint="cs"/>
          <w:rtl/>
        </w:rPr>
        <w:t xml:space="preserve"> )  ، </w:t>
      </w:r>
      <w:r w:rsidRPr="006D2F23">
        <w:rPr>
          <w:rtl/>
        </w:rPr>
        <w:t>أفاد منه ابن الباذش في كتابه الإقناع في القراءات السبع</w:t>
      </w:r>
      <w:r w:rsidR="00C5021D">
        <w:rPr>
          <w:vertAlign w:val="superscript"/>
          <w:rtl/>
        </w:rPr>
        <w:t xml:space="preserve">( </w:t>
      </w:r>
      <w:r w:rsidR="00C5021D">
        <w:rPr>
          <w:rStyle w:val="FootnoteReference"/>
          <w:rtl/>
        </w:rPr>
        <w:footnoteReference w:id="51"/>
      </w:r>
      <w:r w:rsidR="00C5021D">
        <w:rPr>
          <w:vertAlign w:val="superscript"/>
          <w:rtl/>
        </w:rPr>
        <w:t xml:space="preserve"> )</w:t>
      </w:r>
      <w:r w:rsidRPr="006D2F23">
        <w:rPr>
          <w:rtl/>
        </w:rPr>
        <w:t>.</w:t>
      </w:r>
    </w:p>
    <w:p w:rsidR="008A2180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وجاء بعدهم المقرئ البغدادي خلف بن هشام البزار فألف في الوقف والابتداء كتاباً ، وهو أحد القراء العشرة المشهورين وتوفي بمدينة السلام ببغداد سنة ( 229 هـ )</w:t>
      </w:r>
      <w:r w:rsidR="008A2180" w:rsidRPr="008A2180">
        <w:rPr>
          <w:vertAlign w:val="superscript"/>
          <w:rtl/>
        </w:rPr>
        <w:t xml:space="preserve"> </w:t>
      </w:r>
      <w:r w:rsidR="008049E4" w:rsidRPr="00AD6587">
        <w:rPr>
          <w:vertAlign w:val="superscript"/>
          <w:rtl/>
        </w:rPr>
        <w:t xml:space="preserve">( </w:t>
      </w:r>
      <w:r w:rsidR="008049E4" w:rsidRPr="00AD6587">
        <w:rPr>
          <w:rStyle w:val="FootnoteReference"/>
          <w:rtl/>
        </w:rPr>
        <w:footnoteReference w:id="52"/>
      </w:r>
      <w:r w:rsidR="008049E4" w:rsidRPr="00AD6587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8A2180">
        <w:rPr>
          <w:rFonts w:hint="cs"/>
          <w:rtl/>
        </w:rPr>
        <w:t>.</w:t>
      </w:r>
    </w:p>
    <w:p w:rsidR="00AC04D1" w:rsidRDefault="008A2180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و</w:t>
      </w:r>
      <w:r w:rsidR="00AC04D1">
        <w:rPr>
          <w:rFonts w:hint="cs"/>
          <w:rtl/>
        </w:rPr>
        <w:t>ألف معاصره المقرئ مُحَمَّد بن سعدان الكوفي ، نسبة</w:t>
      </w:r>
      <w:r w:rsidR="00AA0603">
        <w:rPr>
          <w:rFonts w:hint="cs"/>
          <w:rtl/>
        </w:rPr>
        <w:t>ً</w:t>
      </w:r>
      <w:r w:rsidR="00AC04D1">
        <w:rPr>
          <w:rFonts w:hint="cs"/>
          <w:rtl/>
        </w:rPr>
        <w:t xml:space="preserve"> </w:t>
      </w:r>
      <w:r w:rsidR="00AA0603">
        <w:rPr>
          <w:rFonts w:hint="cs"/>
          <w:rtl/>
        </w:rPr>
        <w:t xml:space="preserve">، </w:t>
      </w:r>
      <w:r w:rsidR="00AC04D1">
        <w:rPr>
          <w:rFonts w:hint="cs"/>
          <w:rtl/>
        </w:rPr>
        <w:t>غير أننا لو دققنا النظر لوجدنا أنه بغدادي فقد ذكره الخطيب البغدادي في تاريخ بغداد ووثقه وذكره ابن المنادي في كتابه قراء أهل مدينة السلام .</w:t>
      </w:r>
      <w:r>
        <w:rPr>
          <w:rFonts w:hint="cs"/>
          <w:rtl/>
        </w:rPr>
        <w:t xml:space="preserve"> </w:t>
      </w:r>
      <w:r w:rsidR="00AC04D1">
        <w:rPr>
          <w:rFonts w:hint="cs"/>
          <w:rtl/>
        </w:rPr>
        <w:t xml:space="preserve">وقال القفطي " وكان بغدادي المولد كوفي المذهب " ، </w:t>
      </w:r>
      <w:r>
        <w:rPr>
          <w:rFonts w:hint="cs"/>
          <w:rtl/>
        </w:rPr>
        <w:t>أ</w:t>
      </w:r>
      <w:r w:rsidR="00AC04D1">
        <w:rPr>
          <w:rFonts w:hint="cs"/>
          <w:rtl/>
        </w:rPr>
        <w:t>ي : من اتباع مدرسة الكوفة في النحو ، وتوفي ابن سعدان سنة ( 231 هـ )</w:t>
      </w:r>
      <w:r w:rsidRPr="008A2180">
        <w:rPr>
          <w:vertAlign w:val="superscript"/>
          <w:rtl/>
        </w:rPr>
        <w:t xml:space="preserve"> </w:t>
      </w:r>
      <w:r w:rsidR="008049E4">
        <w:rPr>
          <w:vertAlign w:val="superscript"/>
          <w:rtl/>
        </w:rPr>
        <w:t xml:space="preserve">( </w:t>
      </w:r>
      <w:r w:rsidR="008049E4">
        <w:rPr>
          <w:rStyle w:val="FootnoteReference"/>
          <w:rtl/>
        </w:rPr>
        <w:footnoteReference w:id="53"/>
      </w:r>
      <w:r w:rsidR="008049E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AC04D1">
        <w:rPr>
          <w:rFonts w:hint="cs"/>
          <w:rtl/>
        </w:rPr>
        <w:t>.</w:t>
      </w:r>
    </w:p>
    <w:p w:rsidR="008D2CFB" w:rsidRDefault="008D2CFB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وألف </w:t>
      </w:r>
      <w:r w:rsidRPr="006D2F23">
        <w:rPr>
          <w:rtl/>
        </w:rPr>
        <w:t xml:space="preserve">سليمان بن داود أبي الربيع الزهراني </w:t>
      </w:r>
      <w:r>
        <w:rPr>
          <w:rFonts w:hint="cs"/>
          <w:rtl/>
        </w:rPr>
        <w:t xml:space="preserve">( </w:t>
      </w:r>
      <w:r w:rsidRPr="006D2F23">
        <w:rPr>
          <w:rtl/>
        </w:rPr>
        <w:t>ت 234 هـ</w:t>
      </w:r>
      <w:r>
        <w:rPr>
          <w:rFonts w:hint="cs"/>
          <w:rtl/>
        </w:rPr>
        <w:t xml:space="preserve">) </w:t>
      </w:r>
      <w:r w:rsidRPr="008D2CFB">
        <w:rPr>
          <w:rFonts w:hint="cs"/>
          <w:rtl/>
        </w:rPr>
        <w:t xml:space="preserve">كتاب </w:t>
      </w:r>
      <w:r w:rsidRPr="008D2CFB">
        <w:rPr>
          <w:rtl/>
        </w:rPr>
        <w:t>الحروف</w:t>
      </w:r>
      <w:r w:rsidR="00E910D9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4"/>
      </w:r>
      <w:r>
        <w:rPr>
          <w:vertAlign w:val="superscript"/>
          <w:rtl/>
        </w:rPr>
        <w:t xml:space="preserve"> )</w:t>
      </w:r>
      <w:r>
        <w:rPr>
          <w:rFonts w:hint="cs"/>
          <w:b/>
          <w:bCs/>
          <w:rtl/>
        </w:rPr>
        <w:t xml:space="preserve"> 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وألف معاصره أبو عَبْدالرَّحْمَن عَبْداللَّهِ بن يحيى بن المبارك اليزيدي ( ت 237 هـ ) كتاباً في الوقف والابتداء أَيْضًا</w:t>
      </w:r>
      <w:r w:rsidR="00867A26">
        <w:rPr>
          <w:vertAlign w:val="superscript"/>
          <w:rtl/>
        </w:rPr>
        <w:t xml:space="preserve">( </w:t>
      </w:r>
      <w:r w:rsidR="00867A26">
        <w:rPr>
          <w:rStyle w:val="FootnoteReference"/>
          <w:rtl/>
        </w:rPr>
        <w:footnoteReference w:id="55"/>
      </w:r>
      <w:r w:rsidR="00867A26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وفي نهاية النصف الأول من القرن الثالث الهجري ، ألّف المقرئ البغدادي أبو عمر الدوري حفص بن عمر ( ت 246 هـ ) كتاباً في الوقف والابتداء أَيْضًا ، وهو واحد من أجلّ رواة القراء عن الكسائي ، وهو ممن روى عن مُحَمَّد بن سعدان ونسبته إِلى الدور محلة بالجانب الشرقي من بغداد وهو من أبطال الثبات في محنة خلق القرآن ، وكان ممن وقف في وجه طغيان المعتزلة ، ولذلك روى عنه الإِمَام أحمد بن حنبل</w:t>
      </w:r>
      <w:r w:rsidR="00B245A6" w:rsidRPr="00583CBE">
        <w:rPr>
          <w:vertAlign w:val="superscript"/>
          <w:rtl/>
        </w:rPr>
        <w:t xml:space="preserve">( </w:t>
      </w:r>
      <w:r w:rsidR="00B245A6" w:rsidRPr="00583CBE">
        <w:rPr>
          <w:rStyle w:val="FootnoteReference"/>
          <w:rtl/>
        </w:rPr>
        <w:footnoteReference w:id="56"/>
      </w:r>
      <w:r w:rsidR="00B245A6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وجاء بعدهم المقرئ اللغوي أبو حاتم السجستاني ( ت 255 هـ ) فألف كتابه المعروف بـ( المقاطع والمبادئ ) وهو كتاب مشهور عند أهل الفن ، وقد أثارت آراؤه في الوقف وأنواعه ردود فعلٍ مختلفة عند </w:t>
      </w:r>
      <w:r>
        <w:rPr>
          <w:rFonts w:hint="cs"/>
          <w:rtl/>
        </w:rPr>
        <w:lastRenderedPageBreak/>
        <w:t>المؤلفين في الوقف والابتداء</w:t>
      </w:r>
      <w:r w:rsidR="005206D1" w:rsidRPr="00583CBE">
        <w:rPr>
          <w:vertAlign w:val="superscript"/>
          <w:rtl/>
        </w:rPr>
        <w:t xml:space="preserve">( </w:t>
      </w:r>
      <w:r w:rsidR="005206D1" w:rsidRPr="00583CBE">
        <w:rPr>
          <w:rStyle w:val="FootnoteReference"/>
          <w:rtl/>
        </w:rPr>
        <w:footnoteReference w:id="57"/>
      </w:r>
      <w:r w:rsidR="005206D1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F54B8D" w:rsidRDefault="00F54B8D" w:rsidP="0032442D">
      <w:pPr>
        <w:widowControl w:val="0"/>
        <w:spacing w:before="120"/>
        <w:ind w:firstLine="720"/>
        <w:jc w:val="mediumKashida"/>
        <w:rPr>
          <w:rtl/>
        </w:rPr>
      </w:pPr>
      <w:r w:rsidRPr="00F54B8D">
        <w:rPr>
          <w:rtl/>
        </w:rPr>
        <w:t>الوقف والابتداء</w:t>
      </w:r>
      <w:r w:rsidRPr="00583CBE">
        <w:rPr>
          <w:rtl/>
        </w:rPr>
        <w:t xml:space="preserve"> </w:t>
      </w:r>
      <w:r>
        <w:rPr>
          <w:rFonts w:hint="cs"/>
          <w:rtl/>
        </w:rPr>
        <w:t>ل</w:t>
      </w:r>
      <w:r w:rsidRPr="00583CBE">
        <w:rPr>
          <w:rtl/>
        </w:rPr>
        <w:t xml:space="preserve">ابن أبي الدنيا </w:t>
      </w:r>
      <w:r>
        <w:rPr>
          <w:rFonts w:hint="cs"/>
          <w:rtl/>
        </w:rPr>
        <w:t>،</w:t>
      </w:r>
      <w:r w:rsidRPr="00583CBE">
        <w:rPr>
          <w:rtl/>
        </w:rPr>
        <w:t xml:space="preserve"> عَبْد اللَّهِ بن محمّد بن عبيد بن سفيان القرشي مولاهم ، أبو بكر البغدادي</w:t>
      </w:r>
      <w:r w:rsidR="00C14042">
        <w:rPr>
          <w:rFonts w:hint="cs"/>
          <w:rtl/>
        </w:rPr>
        <w:t xml:space="preserve"> ( ت 281 هـ )</w:t>
      </w:r>
      <w:r w:rsidR="00494790" w:rsidRPr="00583CBE">
        <w:rPr>
          <w:vertAlign w:val="superscript"/>
          <w:rtl/>
        </w:rPr>
        <w:t xml:space="preserve">( </w:t>
      </w:r>
      <w:r w:rsidR="00494790" w:rsidRPr="00583CBE">
        <w:rPr>
          <w:rStyle w:val="FootnoteReference"/>
          <w:rtl/>
        </w:rPr>
        <w:footnoteReference w:id="58"/>
      </w:r>
      <w:r w:rsidR="00494790" w:rsidRPr="00583CBE">
        <w:rPr>
          <w:vertAlign w:val="superscript"/>
          <w:rtl/>
        </w:rPr>
        <w:t xml:space="preserve"> )</w:t>
      </w:r>
      <w:r w:rsidR="005E1C8F"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C14042" w:rsidRPr="00493CD1" w:rsidRDefault="00C14042" w:rsidP="0032442D">
      <w:pPr>
        <w:widowControl w:val="0"/>
        <w:spacing w:before="120"/>
        <w:ind w:firstLine="720"/>
        <w:jc w:val="mediumKashida"/>
        <w:rPr>
          <w:rtl/>
        </w:rPr>
      </w:pPr>
      <w:r w:rsidRPr="00C14042">
        <w:rPr>
          <w:rtl/>
        </w:rPr>
        <w:t>الوقف والابتداء</w:t>
      </w:r>
      <w:r>
        <w:rPr>
          <w:rFonts w:hint="cs"/>
          <w:b/>
          <w:bCs/>
          <w:rtl/>
        </w:rPr>
        <w:t xml:space="preserve"> </w:t>
      </w:r>
      <w:r w:rsidRPr="006D2F23">
        <w:rPr>
          <w:rtl/>
        </w:rPr>
        <w:t>ل</w:t>
      </w:r>
      <w:r>
        <w:rPr>
          <w:rFonts w:hint="cs"/>
          <w:rtl/>
        </w:rPr>
        <w:t xml:space="preserve">أبي حنيفة </w:t>
      </w:r>
      <w:r w:rsidRPr="006D2F23">
        <w:rPr>
          <w:rtl/>
        </w:rPr>
        <w:t xml:space="preserve">أحمد بن داود الدينوري </w:t>
      </w:r>
      <w:r>
        <w:rPr>
          <w:rFonts w:hint="cs"/>
          <w:rtl/>
        </w:rPr>
        <w:t xml:space="preserve">                       </w:t>
      </w:r>
      <w:r w:rsidRPr="00292616">
        <w:rPr>
          <w:rFonts w:ascii="Simplified Arabic" w:hint="cs"/>
          <w:rtl/>
          <w:lang w:bidi="ar-IQ"/>
        </w:rPr>
        <w:t>( ت 282 هـ )</w:t>
      </w:r>
      <w:r w:rsidR="005E1C8F" w:rsidRPr="00583CBE">
        <w:rPr>
          <w:vertAlign w:val="superscript"/>
          <w:rtl/>
        </w:rPr>
        <w:t xml:space="preserve"> ( </w:t>
      </w:r>
      <w:r w:rsidR="005E1C8F" w:rsidRPr="00583CBE">
        <w:rPr>
          <w:rStyle w:val="FootnoteReference"/>
          <w:rtl/>
        </w:rPr>
        <w:footnoteReference w:id="59"/>
      </w:r>
      <w:r w:rsidR="005E1C8F" w:rsidRPr="00583CBE">
        <w:rPr>
          <w:vertAlign w:val="superscript"/>
          <w:rtl/>
        </w:rPr>
        <w:t xml:space="preserve"> )</w:t>
      </w:r>
      <w:r w:rsidR="00493CD1">
        <w:rPr>
          <w:rFonts w:hint="cs"/>
          <w:rtl/>
        </w:rPr>
        <w:t xml:space="preserve"> 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وألف في نهاية القرن الثالث الهجري المقرئ البغدادي أبو أيوب </w:t>
      </w:r>
      <w:r w:rsidR="00CF5443">
        <w:rPr>
          <w:rFonts w:ascii="Simplified Arabic" w:hint="eastAsia"/>
          <w:color w:val="000000"/>
          <w:rtl/>
          <w:lang w:bidi="ar-IQ"/>
        </w:rPr>
        <w:t>سليمان</w:t>
      </w:r>
      <w:r w:rsidR="00CF5443">
        <w:rPr>
          <w:rFonts w:ascii="Simplified Arabic"/>
          <w:color w:val="000000"/>
          <w:rtl/>
          <w:lang w:bidi="ar-IQ"/>
        </w:rPr>
        <w:t xml:space="preserve"> </w:t>
      </w:r>
      <w:r w:rsidR="00CF5443">
        <w:rPr>
          <w:rFonts w:ascii="Simplified Arabic" w:hint="eastAsia"/>
          <w:color w:val="000000"/>
          <w:rtl/>
          <w:lang w:bidi="ar-IQ"/>
        </w:rPr>
        <w:t>بن</w:t>
      </w:r>
      <w:r w:rsidR="00CF5443">
        <w:rPr>
          <w:rFonts w:ascii="Simplified Arabic"/>
          <w:color w:val="000000"/>
          <w:rtl/>
          <w:lang w:bidi="ar-IQ"/>
        </w:rPr>
        <w:t xml:space="preserve"> </w:t>
      </w:r>
      <w:r w:rsidR="00CF5443">
        <w:rPr>
          <w:rFonts w:ascii="Simplified Arabic" w:hint="eastAsia"/>
          <w:color w:val="000000"/>
          <w:rtl/>
          <w:lang w:bidi="ar-IQ"/>
        </w:rPr>
        <w:t>يحيى</w:t>
      </w:r>
      <w:r w:rsidR="00CF544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>التميمي المعروف بالضبي ( ت 291 هـ ) كتابه في الوقف والابتداء ، وهو ممن أقرأ بمدينة السلام ستين سنة ، وقرأ عليه أبو بكر النقاش البغدادي ، ومحمد بن القاسم والد أبي بكر بن الأنباري</w:t>
      </w:r>
      <w:r w:rsidR="008A2180" w:rsidRPr="00583CBE">
        <w:rPr>
          <w:vertAlign w:val="superscript"/>
          <w:rtl/>
        </w:rPr>
        <w:t xml:space="preserve">( </w:t>
      </w:r>
      <w:r w:rsidR="008A2180" w:rsidRPr="00583CBE">
        <w:rPr>
          <w:rStyle w:val="FootnoteReference"/>
          <w:rtl/>
        </w:rPr>
        <w:footnoteReference w:id="60"/>
      </w:r>
      <w:r w:rsidR="008A2180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AC04D1" w:rsidRDefault="00AC04D1" w:rsidP="0032442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ولمعاصره النحوي المشهور ثعلب ( ت 291 هـ ) كتابه الوقف والابتداء أَيْضًا</w:t>
      </w:r>
      <w:r w:rsidR="00EF74E1" w:rsidRPr="00583CBE">
        <w:rPr>
          <w:vertAlign w:val="superscript"/>
          <w:rtl/>
        </w:rPr>
        <w:t xml:space="preserve">( </w:t>
      </w:r>
      <w:r w:rsidR="00EF74E1" w:rsidRPr="00583CBE">
        <w:rPr>
          <w:rStyle w:val="FootnoteReference"/>
          <w:rtl/>
        </w:rPr>
        <w:footnoteReference w:id="61"/>
      </w:r>
      <w:r w:rsidR="00EF74E1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A1CD1" w:rsidRDefault="008A66B2" w:rsidP="00A1421C">
      <w:pPr>
        <w:widowControl w:val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7 ـ </w:t>
      </w:r>
      <w:r w:rsidR="004A1CD1" w:rsidRPr="00C758E4">
        <w:rPr>
          <w:rFonts w:hint="cs"/>
          <w:b/>
          <w:bCs/>
          <w:rtl/>
        </w:rPr>
        <w:t>علم متشابه القرآن</w:t>
      </w:r>
    </w:p>
    <w:p w:rsidR="00065598" w:rsidRDefault="00065598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>أ</w:t>
      </w:r>
      <w:r w:rsidR="00202DE6">
        <w:rPr>
          <w:rFonts w:hint="cs"/>
          <w:rtl/>
        </w:rPr>
        <w:t>ُ</w:t>
      </w:r>
      <w:r>
        <w:rPr>
          <w:rFonts w:hint="cs"/>
          <w:rtl/>
        </w:rPr>
        <w:t>ل</w:t>
      </w:r>
      <w:r w:rsidR="00202DE6">
        <w:rPr>
          <w:rFonts w:hint="cs"/>
          <w:rtl/>
        </w:rPr>
        <w:t>ِ</w:t>
      </w:r>
      <w:r>
        <w:rPr>
          <w:rFonts w:hint="cs"/>
          <w:rtl/>
        </w:rPr>
        <w:t xml:space="preserve">ف عدد من الكتب المهمة في متشابه القرآن ، </w:t>
      </w:r>
      <w:r w:rsidR="00202DE6">
        <w:rPr>
          <w:rFonts w:hint="cs"/>
          <w:rtl/>
        </w:rPr>
        <w:t>وهي :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، لجعفر بن حرب المعتزلي البغدادي </w:t>
      </w:r>
      <w:r w:rsidR="002A3237">
        <w:rPr>
          <w:rFonts w:hint="cs"/>
          <w:rtl/>
        </w:rPr>
        <w:t xml:space="preserve">                    </w:t>
      </w:r>
      <w:r>
        <w:rPr>
          <w:rFonts w:hint="cs"/>
          <w:rtl/>
        </w:rPr>
        <w:t>( ت 216 هـ )</w:t>
      </w:r>
      <w:r w:rsidR="002A3237" w:rsidRPr="002A3237">
        <w:rPr>
          <w:vertAlign w:val="superscript"/>
          <w:rtl/>
        </w:rPr>
        <w:t xml:space="preserve"> </w:t>
      </w:r>
      <w:r w:rsidR="002A3237" w:rsidRPr="00583CBE">
        <w:rPr>
          <w:vertAlign w:val="superscript"/>
          <w:rtl/>
        </w:rPr>
        <w:t xml:space="preserve">( </w:t>
      </w:r>
      <w:r w:rsidR="002A3237" w:rsidRPr="00583CBE">
        <w:rPr>
          <w:rStyle w:val="FootnoteReference"/>
          <w:rtl/>
        </w:rPr>
        <w:footnoteReference w:id="62"/>
      </w:r>
      <w:r w:rsidR="002A3237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، لبشر بن المعتمر البغدادي المعتزلي </w:t>
      </w:r>
      <w:r w:rsidR="002A3237">
        <w:rPr>
          <w:rFonts w:hint="cs"/>
          <w:rtl/>
        </w:rPr>
        <w:t xml:space="preserve">                      </w:t>
      </w:r>
      <w:r>
        <w:rPr>
          <w:rFonts w:hint="cs"/>
          <w:rtl/>
        </w:rPr>
        <w:lastRenderedPageBreak/>
        <w:t>( ت 210 هـ )</w:t>
      </w:r>
      <w:r w:rsidR="002A3237" w:rsidRPr="002A3237">
        <w:rPr>
          <w:vertAlign w:val="superscript"/>
          <w:rtl/>
        </w:rPr>
        <w:t xml:space="preserve"> </w:t>
      </w:r>
      <w:r w:rsidR="002A3237" w:rsidRPr="00583CBE">
        <w:rPr>
          <w:vertAlign w:val="superscript"/>
          <w:rtl/>
        </w:rPr>
        <w:t xml:space="preserve">( </w:t>
      </w:r>
      <w:r w:rsidR="002A3237" w:rsidRPr="00583CBE">
        <w:rPr>
          <w:rStyle w:val="FootnoteReference"/>
          <w:rtl/>
        </w:rPr>
        <w:footnoteReference w:id="63"/>
      </w:r>
      <w:r w:rsidR="002A3237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</w:t>
      </w:r>
      <w:r w:rsidR="002A3237">
        <w:rPr>
          <w:rFonts w:hint="cs"/>
          <w:rtl/>
        </w:rPr>
        <w:t xml:space="preserve">، </w:t>
      </w:r>
      <w:r>
        <w:rPr>
          <w:rFonts w:hint="cs"/>
          <w:rtl/>
        </w:rPr>
        <w:t xml:space="preserve">لخلف بن هشام البزار البغدادي </w:t>
      </w:r>
      <w:r w:rsidR="002A3237">
        <w:rPr>
          <w:rFonts w:hint="cs"/>
          <w:rtl/>
        </w:rPr>
        <w:t xml:space="preserve">                      </w:t>
      </w:r>
      <w:r>
        <w:rPr>
          <w:rFonts w:hint="cs"/>
          <w:rtl/>
        </w:rPr>
        <w:t>( ت 229 هـ )</w:t>
      </w:r>
      <w:r w:rsidR="002A3237" w:rsidRPr="002A3237">
        <w:rPr>
          <w:vertAlign w:val="superscript"/>
          <w:rtl/>
        </w:rPr>
        <w:t xml:space="preserve"> </w:t>
      </w:r>
      <w:r w:rsidR="00887DB5" w:rsidRPr="00AD6587">
        <w:rPr>
          <w:vertAlign w:val="superscript"/>
          <w:rtl/>
        </w:rPr>
        <w:t xml:space="preserve">( </w:t>
      </w:r>
      <w:r w:rsidR="00887DB5" w:rsidRPr="00AD6587">
        <w:rPr>
          <w:rStyle w:val="FootnoteReference"/>
          <w:rtl/>
        </w:rPr>
        <w:footnoteReference w:id="64"/>
      </w:r>
      <w:r w:rsidR="00887DB5" w:rsidRPr="00AD6587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>متشابه القرآن ،  لمحمود بن حسن الوراق ، ( ت 230 هـ )</w:t>
      </w:r>
      <w:r w:rsidR="002A3237" w:rsidRPr="002A3237">
        <w:rPr>
          <w:vertAlign w:val="superscript"/>
          <w:rtl/>
        </w:rPr>
        <w:t xml:space="preserve"> </w:t>
      </w:r>
      <w:r w:rsidR="002A3237" w:rsidRPr="00583CBE">
        <w:rPr>
          <w:vertAlign w:val="superscript"/>
          <w:rtl/>
        </w:rPr>
        <w:t xml:space="preserve">( </w:t>
      </w:r>
      <w:r w:rsidR="002A3237" w:rsidRPr="00583CBE">
        <w:rPr>
          <w:rStyle w:val="FootnoteReference"/>
          <w:rtl/>
        </w:rPr>
        <w:footnoteReference w:id="65"/>
      </w:r>
      <w:r w:rsidR="002A3237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،  لأبي هذيل العلاف مُحَمَّد بن هذيل </w:t>
      </w:r>
      <w:r w:rsidR="002A3237">
        <w:rPr>
          <w:rFonts w:hint="cs"/>
          <w:rtl/>
        </w:rPr>
        <w:t xml:space="preserve">               </w:t>
      </w:r>
      <w:r>
        <w:rPr>
          <w:rFonts w:hint="cs"/>
          <w:rtl/>
        </w:rPr>
        <w:t>( ت 235 هـ )</w:t>
      </w:r>
      <w:r w:rsidR="002A3237" w:rsidRPr="002A3237">
        <w:rPr>
          <w:vertAlign w:val="superscript"/>
          <w:rtl/>
        </w:rPr>
        <w:t xml:space="preserve"> </w:t>
      </w:r>
      <w:r w:rsidR="002A3237" w:rsidRPr="00583CBE">
        <w:rPr>
          <w:vertAlign w:val="superscript"/>
          <w:rtl/>
        </w:rPr>
        <w:t xml:space="preserve">( </w:t>
      </w:r>
      <w:r w:rsidR="002A3237" w:rsidRPr="00583CBE">
        <w:rPr>
          <w:rStyle w:val="FootnoteReference"/>
          <w:rtl/>
        </w:rPr>
        <w:footnoteReference w:id="66"/>
      </w:r>
      <w:r w:rsidR="002A3237" w:rsidRPr="00583CBE">
        <w:rPr>
          <w:vertAlign w:val="superscript"/>
          <w:rtl/>
        </w:rPr>
        <w:t xml:space="preserve"> )</w:t>
      </w:r>
      <w:r>
        <w:rPr>
          <w:rFonts w:hint="cs"/>
          <w:rtl/>
        </w:rPr>
        <w:t>.</w:t>
      </w:r>
    </w:p>
    <w:p w:rsidR="004A1CD1" w:rsidRDefault="004A1CD1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الرد على الزنادقة </w:t>
      </w:r>
      <w:r w:rsidR="009F0487">
        <w:rPr>
          <w:rFonts w:hint="cs"/>
          <w:rtl/>
        </w:rPr>
        <w:t xml:space="preserve">والجهمية </w:t>
      </w:r>
      <w:r>
        <w:rPr>
          <w:rFonts w:hint="cs"/>
          <w:rtl/>
        </w:rPr>
        <w:t xml:space="preserve">فيما شككوا فيه من متشابه القرآن وتأولوه على غير تأويله ، للإمام أحمد بن حنبل </w:t>
      </w:r>
      <w:r w:rsidR="00DC663F">
        <w:rPr>
          <w:rFonts w:hint="cs"/>
          <w:rtl/>
        </w:rPr>
        <w:t xml:space="preserve">                  </w:t>
      </w:r>
      <w:r>
        <w:rPr>
          <w:rFonts w:hint="cs"/>
          <w:rtl/>
        </w:rPr>
        <w:t>( ت 241 هـ )</w:t>
      </w:r>
      <w:r w:rsidR="009F0487">
        <w:rPr>
          <w:rFonts w:hint="cs"/>
          <w:rtl/>
        </w:rPr>
        <w:t xml:space="preserve"> ، والكتاب مطبوع</w:t>
      </w:r>
      <w:r w:rsidR="00DC663F" w:rsidRPr="00DC663F">
        <w:rPr>
          <w:vertAlign w:val="superscript"/>
          <w:rtl/>
        </w:rPr>
        <w:t xml:space="preserve"> </w:t>
      </w:r>
      <w:r w:rsidR="00DC663F" w:rsidRPr="00583CBE">
        <w:rPr>
          <w:vertAlign w:val="superscript"/>
          <w:rtl/>
        </w:rPr>
        <w:t xml:space="preserve">( </w:t>
      </w:r>
      <w:r w:rsidR="00DC663F" w:rsidRPr="00583CBE">
        <w:rPr>
          <w:rStyle w:val="FootnoteReference"/>
          <w:rtl/>
        </w:rPr>
        <w:footnoteReference w:id="67"/>
      </w:r>
      <w:r w:rsidR="00DC663F" w:rsidRPr="00583CBE">
        <w:rPr>
          <w:vertAlign w:val="superscript"/>
          <w:rtl/>
        </w:rPr>
        <w:t xml:space="preserve"> )</w:t>
      </w:r>
      <w:r w:rsidR="002A3237" w:rsidRPr="002A3237">
        <w:rPr>
          <w:vertAlign w:val="superscript"/>
          <w:rtl/>
        </w:rPr>
        <w:t xml:space="preserve"> </w:t>
      </w:r>
      <w:r w:rsidR="00DC663F">
        <w:rPr>
          <w:rFonts w:hint="cs"/>
          <w:rtl/>
        </w:rPr>
        <w:t>.</w:t>
      </w:r>
    </w:p>
    <w:p w:rsidR="0001724E" w:rsidRDefault="0001724E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كما ألفت كتب في موضوعات </w:t>
      </w:r>
      <w:r w:rsidR="00AA0603">
        <w:rPr>
          <w:rFonts w:hint="cs"/>
          <w:rtl/>
        </w:rPr>
        <w:t>م</w:t>
      </w:r>
      <w:r>
        <w:rPr>
          <w:rFonts w:hint="cs"/>
          <w:rtl/>
        </w:rPr>
        <w:t>تفرقة منها :</w:t>
      </w:r>
    </w:p>
    <w:p w:rsidR="003744D3" w:rsidRDefault="003744D3" w:rsidP="00A1421C">
      <w:pPr>
        <w:widowControl w:val="0"/>
        <w:autoSpaceDE w:val="0"/>
        <w:autoSpaceDN w:val="0"/>
        <w:adjustRightInd w:val="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مصادر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القرآن</w:t>
      </w:r>
      <w:r w:rsidR="0001724E">
        <w:rPr>
          <w:rFonts w:ascii="Simplified Arabic" w:hint="cs"/>
          <w:color w:val="000000"/>
          <w:rtl/>
          <w:lang w:bidi="ar-IQ"/>
        </w:rPr>
        <w:t xml:space="preserve"> </w:t>
      </w:r>
      <w:r w:rsidR="0001724E">
        <w:rPr>
          <w:rFonts w:hint="cs"/>
          <w:rtl/>
        </w:rPr>
        <w:t>لإبراهيم بن يحيى ( ت 225 هـ )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يكمله</w:t>
      </w:r>
      <w:r w:rsidR="002A3237" w:rsidRPr="00583CBE">
        <w:rPr>
          <w:vertAlign w:val="superscript"/>
          <w:rtl/>
        </w:rPr>
        <w:t xml:space="preserve">( </w:t>
      </w:r>
      <w:r w:rsidR="002A3237" w:rsidRPr="00583CBE">
        <w:rPr>
          <w:rStyle w:val="FootnoteReference"/>
          <w:rtl/>
        </w:rPr>
        <w:footnoteReference w:id="68"/>
      </w:r>
      <w:r w:rsidR="002A3237" w:rsidRPr="00583CBE">
        <w:rPr>
          <w:vertAlign w:val="superscript"/>
          <w:rtl/>
        </w:rPr>
        <w:t xml:space="preserve"> )</w:t>
      </w:r>
      <w:r w:rsidR="002A3237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0C6836" w:rsidRDefault="0060193A" w:rsidP="00A1421C">
      <w:pPr>
        <w:widowControl w:val="0"/>
        <w:ind w:firstLine="720"/>
        <w:jc w:val="mediumKashida"/>
        <w:rPr>
          <w:rtl/>
        </w:rPr>
      </w:pPr>
      <w:r>
        <w:rPr>
          <w:rFonts w:ascii="Simplified Arabic" w:hint="eastAsia"/>
          <w:color w:val="000000"/>
          <w:rtl/>
          <w:lang w:bidi="ar-IQ"/>
        </w:rPr>
        <w:t>والجمع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والتثنية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القرآن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01724E">
        <w:rPr>
          <w:rFonts w:ascii="Simplified Arabic" w:hint="cs"/>
          <w:color w:val="000000"/>
          <w:rtl/>
          <w:lang w:bidi="ar-IQ"/>
        </w:rPr>
        <w:t>ل</w:t>
      </w:r>
      <w:r>
        <w:rPr>
          <w:rFonts w:ascii="Simplified Arabic" w:hint="cs"/>
          <w:color w:val="000000"/>
          <w:rtl/>
          <w:lang w:bidi="ar-IQ"/>
        </w:rPr>
        <w:t>لفراء</w:t>
      </w:r>
      <w:r w:rsidR="0001724E">
        <w:rPr>
          <w:vertAlign w:val="superscript"/>
          <w:rtl/>
        </w:rPr>
        <w:t xml:space="preserve">( </w:t>
      </w:r>
      <w:r w:rsidR="0001724E">
        <w:rPr>
          <w:rStyle w:val="FootnoteReference"/>
          <w:rtl/>
        </w:rPr>
        <w:footnoteReference w:id="69"/>
      </w:r>
      <w:r w:rsidR="0001724E">
        <w:rPr>
          <w:vertAlign w:val="superscript"/>
          <w:rtl/>
        </w:rPr>
        <w:t xml:space="preserve"> )</w:t>
      </w:r>
      <w:r w:rsidR="0001724E">
        <w:rPr>
          <w:rFonts w:hint="cs"/>
          <w:rtl/>
        </w:rPr>
        <w:t xml:space="preserve"> .</w:t>
      </w:r>
    </w:p>
    <w:p w:rsidR="00A255C5" w:rsidRDefault="00D77A36" w:rsidP="00A1421C">
      <w:pPr>
        <w:widowControl w:val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هذا العرض يظهر الجهود الكبيرة والمتنوعة للعلماء العراقيين في خدمة القرآن الكريم وعلومه ، وهذه المؤلفات تركت بصماتها واضحة قوية في </w:t>
      </w:r>
      <w:r w:rsidR="00D00CD2">
        <w:rPr>
          <w:rFonts w:hint="cs"/>
          <w:rtl/>
        </w:rPr>
        <w:t>كتب القرون ال</w:t>
      </w:r>
      <w:r w:rsidR="00965753">
        <w:rPr>
          <w:rFonts w:hint="cs"/>
          <w:rtl/>
        </w:rPr>
        <w:t>آ</w:t>
      </w:r>
      <w:r w:rsidR="00D00CD2">
        <w:rPr>
          <w:rFonts w:hint="cs"/>
          <w:rtl/>
        </w:rPr>
        <w:t xml:space="preserve">تية ، </w:t>
      </w:r>
      <w:r w:rsidR="00965753">
        <w:rPr>
          <w:rFonts w:hint="cs"/>
          <w:rtl/>
        </w:rPr>
        <w:t xml:space="preserve">وكان لها الأثر في مختلف العلوم الأخرى </w:t>
      </w:r>
      <w:r w:rsidR="00A255C5">
        <w:rPr>
          <w:rFonts w:hint="cs"/>
          <w:rtl/>
        </w:rPr>
        <w:t>.</w:t>
      </w:r>
    </w:p>
    <w:sectPr w:rsidR="00A255C5" w:rsidSect="00DD5257">
      <w:footerReference w:type="even" r:id="rId8"/>
      <w:footerReference w:type="default" r:id="rId9"/>
      <w:footnotePr>
        <w:numRestart w:val="eachPage"/>
      </w:footnotePr>
      <w:pgSz w:w="11906" w:h="16838"/>
      <w:pgMar w:top="1440" w:right="1800" w:bottom="1440" w:left="1800" w:header="720" w:footer="720" w:gutter="0"/>
      <w:pgNumType w:start="202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BFE" w:rsidRDefault="00E65BFE">
      <w:r>
        <w:separator/>
      </w:r>
    </w:p>
  </w:endnote>
  <w:endnote w:type="continuationSeparator" w:id="1">
    <w:p w:rsidR="00E65BFE" w:rsidRDefault="00E6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7">
    <w:charset w:val="B2"/>
    <w:family w:val="auto"/>
    <w:pitch w:val="variable"/>
    <w:sig w:usb0="00002001" w:usb1="00000000" w:usb2="00000000" w:usb3="00000000" w:csb0="00000040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36" w:rsidRDefault="004D57D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C683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C6836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0C6836" w:rsidRDefault="000C683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48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DD5257" w:rsidRDefault="004D57DB">
        <w:pPr>
          <w:pStyle w:val="Footer"/>
          <w:jc w:val="center"/>
        </w:pPr>
        <w:r w:rsidRPr="00DD5257">
          <w:rPr>
            <w:szCs w:val="32"/>
          </w:rPr>
          <w:fldChar w:fldCharType="begin"/>
        </w:r>
        <w:r w:rsidR="00DD5257" w:rsidRPr="00DD5257">
          <w:rPr>
            <w:szCs w:val="32"/>
          </w:rPr>
          <w:instrText xml:space="preserve"> PAGE   \* MERGEFORMAT </w:instrText>
        </w:r>
        <w:r w:rsidRPr="00DD5257">
          <w:rPr>
            <w:szCs w:val="32"/>
          </w:rPr>
          <w:fldChar w:fldCharType="separate"/>
        </w:r>
        <w:r w:rsidR="00FF610A" w:rsidRPr="00FF610A">
          <w:rPr>
            <w:noProof/>
            <w:szCs w:val="32"/>
            <w:rtl/>
            <w:lang w:val="ar-SA"/>
          </w:rPr>
          <w:t>215</w:t>
        </w:r>
        <w:r w:rsidRPr="00DD5257">
          <w:rPr>
            <w:szCs w:val="32"/>
          </w:rPr>
          <w:fldChar w:fldCharType="end"/>
        </w:r>
      </w:p>
    </w:sdtContent>
  </w:sdt>
  <w:p w:rsidR="000C6836" w:rsidRDefault="000C6836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BFE" w:rsidRDefault="00E65BFE">
      <w:pPr>
        <w:jc w:val="lowKashida"/>
      </w:pPr>
      <w:r>
        <w:separator/>
      </w:r>
    </w:p>
  </w:footnote>
  <w:footnote w:type="continuationSeparator" w:id="1">
    <w:p w:rsidR="00E65BFE" w:rsidRDefault="00E65BFE">
      <w:pPr>
        <w:pStyle w:val="Footer"/>
      </w:pPr>
      <w:r>
        <w:separator/>
      </w:r>
    </w:p>
  </w:footnote>
  <w:footnote w:id="2">
    <w:p w:rsidR="00EB2BD4" w:rsidRPr="003B54E6" w:rsidRDefault="00EB2BD4" w:rsidP="00EB2BD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ضحى الإسلام : 2/8 ـ 9 .</w:t>
      </w:r>
    </w:p>
  </w:footnote>
  <w:footnote w:id="3">
    <w:p w:rsidR="0010592B" w:rsidRPr="003B54E6" w:rsidRDefault="0010592B" w:rsidP="0010592B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rFonts w:ascii="Simplified Arabic" w:hint="eastAsia"/>
          <w:sz w:val="24"/>
          <w:rtl/>
          <w:lang w:bidi="ar-IQ"/>
        </w:rPr>
        <w:t>علم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النبات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عند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العرب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من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مرحلة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التدوين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اللغوي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إلى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مرحلة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الملاحظة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العلمية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المحض</w:t>
      </w:r>
      <w:r w:rsidRPr="003B54E6">
        <w:rPr>
          <w:rFonts w:ascii="Simplified Arabic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sz w:val="24"/>
          <w:rtl/>
          <w:lang w:bidi="ar-IQ"/>
        </w:rPr>
        <w:t>لإبراهيم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مراد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،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مقال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ضمن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حوليات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الجامعة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التونسية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عدد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( 29 )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1988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م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/>
          <w:color w:val="000000"/>
          <w:sz w:val="24"/>
          <w:rtl/>
          <w:lang w:bidi="ar-IQ"/>
        </w:rPr>
        <w:t>262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4">
    <w:p w:rsidR="0054572A" w:rsidRPr="003B54E6" w:rsidRDefault="0054572A" w:rsidP="004404E9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ينظر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الحيدة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والاعتذار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في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الرد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على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من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قال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بخلق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القرآن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لعبد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العزيز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يحيى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عبدالعزيز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مسلم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ميمون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الكناني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(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ت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204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ه‍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)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مكتبة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العلوم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والحكم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المدينة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المنورة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(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بلا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404E9" w:rsidRPr="003B54E6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="004404E9" w:rsidRPr="003B54E6">
        <w:rPr>
          <w:rFonts w:ascii="Simplified Arabic"/>
          <w:color w:val="000000"/>
          <w:sz w:val="24"/>
          <w:rtl/>
          <w:lang w:bidi="ar-IQ"/>
        </w:rPr>
        <w:t xml:space="preserve"> ) : 140 </w:t>
      </w:r>
      <w:r w:rsidR="004404E9" w:rsidRPr="003B54E6">
        <w:rPr>
          <w:rFonts w:ascii="Simplified Arabic" w:hint="cs"/>
          <w:color w:val="000000"/>
          <w:sz w:val="24"/>
          <w:rtl/>
          <w:lang w:bidi="ar-IQ"/>
        </w:rPr>
        <w:t>، و</w:t>
      </w:r>
      <w:r w:rsidR="004404E9" w:rsidRPr="003B54E6">
        <w:rPr>
          <w:sz w:val="24"/>
          <w:rtl/>
        </w:rPr>
        <w:t>الأنْسَاب ، لأبي سعيد عَبْد الكريم بن مُحَمَّد بن منصور التميمي السمَعَانِي ، ( ت 562 هـ ) نشر المستشرق د . س . مرجليوث ، تقديم وتعليق : عبدالله عُمَر البارودي ، دَار الجنان ، بَيْرُوْت ـ لَبْنَان ، ط1 ، 1408 هـ</w:t>
      </w:r>
      <w:r w:rsidR="004404E9" w:rsidRPr="003B54E6">
        <w:rPr>
          <w:rFonts w:ascii="Simplified Arabic" w:hint="cs"/>
          <w:color w:val="000000"/>
          <w:sz w:val="24"/>
          <w:rtl/>
        </w:rPr>
        <w:t xml:space="preserve"> </w:t>
      </w:r>
      <w:r w:rsidRPr="003B54E6">
        <w:rPr>
          <w:rFonts w:ascii="Simplified Arabic"/>
          <w:color w:val="000000"/>
          <w:sz w:val="24"/>
          <w:rtl/>
          <w:lang w:bidi="ar-IQ"/>
        </w:rPr>
        <w:t>: 3/ 183 .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 xml:space="preserve"> </w:t>
      </w:r>
    </w:p>
  </w:footnote>
  <w:footnote w:id="5">
    <w:p w:rsidR="0054572A" w:rsidRPr="003B54E6" w:rsidRDefault="0054572A" w:rsidP="00907D1D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2A41FF" w:rsidRPr="003B54E6">
        <w:rPr>
          <w:rFonts w:ascii="Simplified Arabic" w:hint="eastAsia"/>
          <w:color w:val="000000"/>
          <w:sz w:val="24"/>
          <w:rtl/>
          <w:lang w:bidi="ar-IQ"/>
        </w:rPr>
        <w:t>ينظر</w:t>
      </w:r>
      <w:r w:rsidR="002A41FF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2A41FF" w:rsidRPr="003B54E6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="00F10BA6" w:rsidRPr="003B54E6">
        <w:rPr>
          <w:rFonts w:hint="cs"/>
          <w:sz w:val="24"/>
          <w:rtl/>
        </w:rPr>
        <w:t>نظرة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عامة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في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تاريخ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الفقه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الإسلامي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، د</w:t>
      </w:r>
      <w:r w:rsidR="00F10BA6" w:rsidRPr="003B54E6">
        <w:rPr>
          <w:sz w:val="24"/>
          <w:rtl/>
        </w:rPr>
        <w:t xml:space="preserve"> . </w:t>
      </w:r>
      <w:r w:rsidR="00F10BA6" w:rsidRPr="003B54E6">
        <w:rPr>
          <w:rFonts w:hint="cs"/>
          <w:sz w:val="24"/>
          <w:rtl/>
        </w:rPr>
        <w:t>حسن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علي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عبد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القادر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،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دار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الكتب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الحديثة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، القاهرة</w:t>
      </w:r>
      <w:r w:rsidR="00F10BA6" w:rsidRPr="003B54E6">
        <w:rPr>
          <w:sz w:val="24"/>
          <w:rtl/>
        </w:rPr>
        <w:t xml:space="preserve"> </w:t>
      </w:r>
      <w:r w:rsidR="00F10BA6" w:rsidRPr="003B54E6">
        <w:rPr>
          <w:rFonts w:hint="cs"/>
          <w:sz w:val="24"/>
          <w:rtl/>
        </w:rPr>
        <w:t>، ط</w:t>
      </w:r>
      <w:r w:rsidR="00F10BA6" w:rsidRPr="003B54E6">
        <w:rPr>
          <w:sz w:val="24"/>
          <w:rtl/>
        </w:rPr>
        <w:t xml:space="preserve">3 </w:t>
      </w:r>
      <w:r w:rsidR="00F10BA6" w:rsidRPr="003B54E6">
        <w:rPr>
          <w:rFonts w:hint="cs"/>
          <w:sz w:val="24"/>
          <w:rtl/>
        </w:rPr>
        <w:t xml:space="preserve">، </w:t>
      </w:r>
      <w:r w:rsidR="00F10BA6" w:rsidRPr="003B54E6">
        <w:rPr>
          <w:sz w:val="24"/>
          <w:rtl/>
        </w:rPr>
        <w:t>1945</w:t>
      </w:r>
      <w:r w:rsidR="00F10BA6" w:rsidRPr="003B54E6">
        <w:rPr>
          <w:rFonts w:hint="cs"/>
          <w:sz w:val="24"/>
          <w:rtl/>
        </w:rPr>
        <w:t>م</w:t>
      </w:r>
      <w:r w:rsidR="00F10BA6" w:rsidRPr="003B54E6">
        <w:rPr>
          <w:rFonts w:ascii="Simplified Arabic" w:hint="cs"/>
          <w:color w:val="000000"/>
          <w:sz w:val="24"/>
          <w:rtl/>
        </w:rPr>
        <w:t xml:space="preserve"> </w:t>
      </w:r>
      <w:r w:rsidR="002A41FF" w:rsidRPr="003B54E6">
        <w:rPr>
          <w:rFonts w:ascii="Simplified Arabic"/>
          <w:color w:val="000000"/>
          <w:sz w:val="24"/>
          <w:rtl/>
          <w:lang w:bidi="ar-IQ"/>
        </w:rPr>
        <w:t xml:space="preserve">: 222 </w:t>
      </w:r>
      <w:r w:rsidR="002A41FF" w:rsidRPr="003B54E6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2A41FF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2A41FF" w:rsidRPr="003B54E6">
        <w:rPr>
          <w:rFonts w:ascii="Simplified Arabic" w:hint="cs"/>
          <w:color w:val="000000"/>
          <w:sz w:val="24"/>
          <w:rtl/>
          <w:lang w:bidi="ar-IQ"/>
        </w:rPr>
        <w:t>و</w:t>
      </w:r>
      <w:r w:rsidR="00907D1D" w:rsidRPr="003B54E6">
        <w:rPr>
          <w:sz w:val="24"/>
          <w:rtl/>
        </w:rPr>
        <w:t xml:space="preserve"> تاريخ المذاهب الإسلامية ، لمحمد أبي زهرة ، ( ت</w:t>
      </w:r>
      <w:r w:rsidR="00907D1D" w:rsidRPr="003B54E6">
        <w:rPr>
          <w:sz w:val="24"/>
        </w:rPr>
        <w:t xml:space="preserve"> </w:t>
      </w:r>
      <w:r w:rsidR="00907D1D" w:rsidRPr="003B54E6">
        <w:rPr>
          <w:sz w:val="24"/>
          <w:rtl/>
        </w:rPr>
        <w:t>1974م ) ، دار الفكر العربي ، القاهرة ، بلا تاريخ</w:t>
      </w:r>
      <w:r w:rsidR="00907D1D" w:rsidRPr="003B54E6">
        <w:rPr>
          <w:rFonts w:ascii="Simplified Arabic" w:hint="cs"/>
          <w:color w:val="000000"/>
          <w:sz w:val="24"/>
          <w:rtl/>
        </w:rPr>
        <w:t xml:space="preserve"> </w:t>
      </w:r>
      <w:r w:rsidR="002A41FF" w:rsidRPr="003B54E6">
        <w:rPr>
          <w:rFonts w:ascii="Simplified Arabic"/>
          <w:color w:val="000000"/>
          <w:sz w:val="24"/>
          <w:rtl/>
          <w:lang w:bidi="ar-IQ"/>
        </w:rPr>
        <w:t>: 2 / 298</w:t>
      </w:r>
    </w:p>
  </w:footnote>
  <w:footnote w:id="6">
    <w:p w:rsidR="0054572A" w:rsidRPr="003B54E6" w:rsidRDefault="0054572A" w:rsidP="00DC3F32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3B50B3" w:rsidRPr="003B54E6">
        <w:rPr>
          <w:rFonts w:ascii="Simplified Arabic" w:hint="eastAsia"/>
          <w:color w:val="000000"/>
          <w:sz w:val="24"/>
          <w:rtl/>
          <w:lang w:bidi="ar-IQ"/>
        </w:rPr>
        <w:t>ينظر</w:t>
      </w:r>
      <w:r w:rsidR="003B50B3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DC3F32" w:rsidRPr="003B54E6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="00DC3F32" w:rsidRPr="003B54E6">
        <w:rPr>
          <w:sz w:val="24"/>
          <w:rtl/>
        </w:rPr>
        <w:t>أَبُو حَنِيفَةَ ، لمحمد أبي زهرة ، ( ت</w:t>
      </w:r>
      <w:r w:rsidR="00DC3F32" w:rsidRPr="003B54E6">
        <w:rPr>
          <w:sz w:val="24"/>
        </w:rPr>
        <w:t xml:space="preserve"> </w:t>
      </w:r>
      <w:r w:rsidR="00DC3F32" w:rsidRPr="003B54E6">
        <w:rPr>
          <w:sz w:val="24"/>
          <w:rtl/>
        </w:rPr>
        <w:t xml:space="preserve">1974م ) ، دَار الفكر للطباعة والنشر ، بَيْرُوْت ، ط2 </w:t>
      </w:r>
      <w:r w:rsidR="00DC3F32" w:rsidRPr="003B54E6">
        <w:rPr>
          <w:rFonts w:hint="cs"/>
          <w:sz w:val="24"/>
          <w:rtl/>
        </w:rPr>
        <w:t xml:space="preserve">، </w:t>
      </w:r>
      <w:r w:rsidR="00DC3F32" w:rsidRPr="003B54E6">
        <w:rPr>
          <w:sz w:val="24"/>
          <w:rtl/>
        </w:rPr>
        <w:t>1977م</w:t>
      </w:r>
      <w:r w:rsidR="00DC3F32" w:rsidRPr="003B54E6">
        <w:rPr>
          <w:rFonts w:hint="cs"/>
          <w:sz w:val="24"/>
          <w:rtl/>
        </w:rPr>
        <w:t xml:space="preserve"> : 137 .</w:t>
      </w:r>
    </w:p>
  </w:footnote>
  <w:footnote w:id="7">
    <w:p w:rsidR="0054572A" w:rsidRPr="003B54E6" w:rsidRDefault="0054572A" w:rsidP="00241819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مالك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241819" w:rsidRPr="003B54E6">
        <w:rPr>
          <w:rFonts w:ascii="Simplified Arabic" w:hint="cs"/>
          <w:color w:val="000000"/>
          <w:sz w:val="24"/>
          <w:rtl/>
          <w:lang w:bidi="ar-IQ"/>
        </w:rPr>
        <w:t>،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ترجمة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محررة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للسيد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أمين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75D8A" w:rsidRPr="003B54E6">
        <w:rPr>
          <w:rFonts w:ascii="Simplified Arabic" w:hint="eastAsia"/>
          <w:color w:val="000000"/>
          <w:sz w:val="24"/>
          <w:rtl/>
          <w:lang w:bidi="ar-IQ"/>
        </w:rPr>
        <w:t>الخولي</w:t>
      </w:r>
      <w:r w:rsidR="00775D8A" w:rsidRPr="003B54E6">
        <w:rPr>
          <w:rFonts w:ascii="Simplified Arabic"/>
          <w:color w:val="000000"/>
          <w:sz w:val="24"/>
          <w:rtl/>
          <w:lang w:bidi="ar-IQ"/>
        </w:rPr>
        <w:t xml:space="preserve"> : 650 </w:t>
      </w:r>
      <w:r w:rsidR="00241819" w:rsidRPr="003B54E6">
        <w:rPr>
          <w:rFonts w:ascii="Simplified Arabic" w:hint="cs"/>
          <w:color w:val="000000"/>
          <w:sz w:val="24"/>
          <w:rtl/>
          <w:lang w:bidi="ar-IQ"/>
        </w:rPr>
        <w:t>نقلاً عن</w:t>
      </w:r>
      <w:r w:rsidR="00241819" w:rsidRPr="003B54E6">
        <w:rPr>
          <w:sz w:val="24"/>
          <w:rtl/>
        </w:rPr>
        <w:t xml:space="preserve"> فقه الحسن بن زياد اللؤلؤي ، </w:t>
      </w:r>
      <w:r w:rsidR="00241819" w:rsidRPr="003B54E6">
        <w:rPr>
          <w:rFonts w:hint="cs"/>
          <w:sz w:val="24"/>
          <w:rtl/>
        </w:rPr>
        <w:t xml:space="preserve">أطروحة </w:t>
      </w:r>
      <w:r w:rsidR="00241819" w:rsidRPr="003B54E6">
        <w:rPr>
          <w:sz w:val="24"/>
          <w:rtl/>
        </w:rPr>
        <w:t>دكتوراه تقدم بها عبد الس</w:t>
      </w:r>
      <w:r w:rsidR="00241819" w:rsidRPr="003B54E6">
        <w:rPr>
          <w:rFonts w:hint="cs"/>
          <w:sz w:val="24"/>
          <w:rtl/>
        </w:rPr>
        <w:t>ت</w:t>
      </w:r>
      <w:r w:rsidR="00241819" w:rsidRPr="003B54E6">
        <w:rPr>
          <w:sz w:val="24"/>
          <w:rtl/>
        </w:rPr>
        <w:t>ار حامد الدباغ ، كلية الشريعة ، جامعة بغداد</w:t>
      </w:r>
      <w:r w:rsidR="00241819" w:rsidRPr="003B54E6">
        <w:rPr>
          <w:rFonts w:hint="cs"/>
          <w:sz w:val="24"/>
          <w:rtl/>
        </w:rPr>
        <w:t xml:space="preserve"> : 209 .</w:t>
      </w:r>
    </w:p>
  </w:footnote>
  <w:footnote w:id="8">
    <w:p w:rsidR="00322E22" w:rsidRPr="003B54E6" w:rsidRDefault="00322E22" w:rsidP="004E4708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4E4708" w:rsidRPr="003B54E6">
        <w:rPr>
          <w:sz w:val="24"/>
          <w:rtl/>
        </w:rPr>
        <w:t>موارد الخطيب في تاريخ بغداد</w:t>
      </w:r>
      <w:r w:rsidR="004E4708" w:rsidRPr="003B54E6">
        <w:rPr>
          <w:rFonts w:hint="cs"/>
          <w:sz w:val="24"/>
          <w:rtl/>
        </w:rPr>
        <w:t xml:space="preserve"> </w:t>
      </w:r>
      <w:r w:rsidR="004E4708" w:rsidRPr="003B54E6">
        <w:rPr>
          <w:sz w:val="24"/>
          <w:rtl/>
        </w:rPr>
        <w:t>، أكرم ضياء</w:t>
      </w:r>
      <w:r w:rsidR="004E4708" w:rsidRPr="003B54E6">
        <w:rPr>
          <w:rFonts w:hint="cs"/>
          <w:sz w:val="24"/>
          <w:rtl/>
        </w:rPr>
        <w:t xml:space="preserve"> </w:t>
      </w:r>
      <w:r w:rsidR="004E4708" w:rsidRPr="003B54E6">
        <w:rPr>
          <w:sz w:val="24"/>
          <w:rtl/>
        </w:rPr>
        <w:t xml:space="preserve">العمري </w:t>
      </w:r>
      <w:r w:rsidR="004E4708" w:rsidRPr="003B54E6">
        <w:rPr>
          <w:rFonts w:hint="cs"/>
          <w:sz w:val="24"/>
          <w:rtl/>
        </w:rPr>
        <w:t xml:space="preserve">، </w:t>
      </w:r>
      <w:r w:rsidR="004E4708" w:rsidRPr="003B54E6">
        <w:rPr>
          <w:sz w:val="24"/>
          <w:rtl/>
        </w:rPr>
        <w:t>مطبعة هاشم الكتبي</w:t>
      </w:r>
      <w:r w:rsidR="004E4708" w:rsidRPr="003B54E6">
        <w:rPr>
          <w:rFonts w:hint="cs"/>
          <w:sz w:val="24"/>
          <w:rtl/>
        </w:rPr>
        <w:t xml:space="preserve"> </w:t>
      </w:r>
      <w:r w:rsidR="004E4708" w:rsidRPr="003B54E6">
        <w:rPr>
          <w:sz w:val="24"/>
          <w:rtl/>
        </w:rPr>
        <w:t>، بغداد</w:t>
      </w:r>
      <w:r w:rsidR="004E4708" w:rsidRPr="003B54E6">
        <w:rPr>
          <w:rFonts w:hint="cs"/>
          <w:sz w:val="24"/>
          <w:rtl/>
        </w:rPr>
        <w:t xml:space="preserve"> </w:t>
      </w:r>
      <w:r w:rsidR="004E4708" w:rsidRPr="003B54E6">
        <w:rPr>
          <w:sz w:val="24"/>
          <w:rtl/>
        </w:rPr>
        <w:t>، 1975م</w:t>
      </w:r>
      <w:r w:rsidR="004E4708" w:rsidRPr="003B54E6">
        <w:rPr>
          <w:rFonts w:hint="cs"/>
          <w:sz w:val="24"/>
          <w:rtl/>
        </w:rPr>
        <w:t xml:space="preserve"> : 22 .</w:t>
      </w:r>
    </w:p>
  </w:footnote>
  <w:footnote w:id="9">
    <w:p w:rsidR="00941FA0" w:rsidRPr="003B54E6" w:rsidRDefault="00941FA0" w:rsidP="00941FA0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إرشاد الأريب : 6/56 .</w:t>
      </w:r>
    </w:p>
  </w:footnote>
  <w:footnote w:id="10">
    <w:p w:rsidR="00727041" w:rsidRPr="003B54E6" w:rsidRDefault="00727041" w:rsidP="0072704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</w:t>
      </w:r>
      <w:r w:rsidRPr="003B54E6">
        <w:rPr>
          <w:rFonts w:hint="cs"/>
          <w:sz w:val="24"/>
          <w:rtl/>
        </w:rPr>
        <w:t>:</w:t>
      </w:r>
      <w:r w:rsidRPr="003B54E6">
        <w:rPr>
          <w:sz w:val="24"/>
          <w:rtl/>
        </w:rPr>
        <w:t xml:space="preserve"> 78 </w:t>
      </w:r>
      <w:r w:rsidRPr="003B54E6">
        <w:rPr>
          <w:rFonts w:hint="cs"/>
          <w:sz w:val="24"/>
          <w:rtl/>
        </w:rPr>
        <w:t>ـ</w:t>
      </w:r>
      <w:r w:rsidRPr="003B54E6">
        <w:rPr>
          <w:sz w:val="24"/>
          <w:rtl/>
        </w:rPr>
        <w:t xml:space="preserve"> 38.</w:t>
      </w:r>
    </w:p>
  </w:footnote>
  <w:footnote w:id="11">
    <w:p w:rsidR="00517288" w:rsidRPr="003B54E6" w:rsidRDefault="00517288" w:rsidP="0040278D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>الفِهْرِسْت</w:t>
      </w:r>
      <w:r w:rsidRPr="003B54E6">
        <w:rPr>
          <w:rFonts w:hint="cs"/>
          <w:sz w:val="24"/>
          <w:rtl/>
        </w:rPr>
        <w:t xml:space="preserve"> : 56 </w:t>
      </w:r>
      <w:r w:rsidR="0040278D" w:rsidRPr="003B54E6">
        <w:rPr>
          <w:rFonts w:hint="cs"/>
          <w:sz w:val="24"/>
          <w:rtl/>
        </w:rPr>
        <w:t>، و</w:t>
      </w:r>
      <w:r w:rsidR="0040278D" w:rsidRPr="003B54E6">
        <w:rPr>
          <w:sz w:val="24"/>
          <w:rtl/>
        </w:rPr>
        <w:t xml:space="preserve">الوافي </w:t>
      </w:r>
      <w:r w:rsidR="0040278D" w:rsidRPr="003B54E6">
        <w:rPr>
          <w:rFonts w:hint="cs"/>
          <w:sz w:val="24"/>
          <w:rtl/>
        </w:rPr>
        <w:t xml:space="preserve"> بالوفيات </w:t>
      </w:r>
      <w:r w:rsidR="0040278D" w:rsidRPr="003B54E6">
        <w:rPr>
          <w:sz w:val="24"/>
          <w:rtl/>
        </w:rPr>
        <w:t xml:space="preserve">: </w:t>
      </w:r>
      <w:r w:rsidR="0040278D" w:rsidRPr="003B54E6">
        <w:rPr>
          <w:rFonts w:hint="cs"/>
          <w:sz w:val="24"/>
          <w:rtl/>
        </w:rPr>
        <w:t xml:space="preserve">4/ </w:t>
      </w:r>
      <w:r w:rsidR="0040278D" w:rsidRPr="003B54E6">
        <w:rPr>
          <w:sz w:val="24"/>
          <w:rtl/>
        </w:rPr>
        <w:t xml:space="preserve">294 </w:t>
      </w:r>
      <w:r w:rsidR="0040278D" w:rsidRPr="003B54E6">
        <w:rPr>
          <w:rFonts w:ascii="Simplified Arabic" w:hint="cs"/>
          <w:sz w:val="24"/>
          <w:rtl/>
          <w:lang w:bidi="ar-IQ"/>
        </w:rPr>
        <w:t>، وغاية النهاية : 2/223 ـ 224  ، و</w:t>
      </w:r>
      <w:r w:rsidR="0040278D" w:rsidRPr="003B54E6">
        <w:rPr>
          <w:sz w:val="24"/>
          <w:rtl/>
        </w:rPr>
        <w:t xml:space="preserve">معجم المؤلفين </w:t>
      </w:r>
      <w:r w:rsidR="0040278D" w:rsidRPr="003B54E6">
        <w:rPr>
          <w:rFonts w:hint="cs"/>
          <w:sz w:val="24"/>
          <w:rtl/>
        </w:rPr>
        <w:t xml:space="preserve">: </w:t>
      </w:r>
      <w:r w:rsidR="0040278D" w:rsidRPr="003B54E6">
        <w:rPr>
          <w:sz w:val="24"/>
          <w:rtl/>
        </w:rPr>
        <w:t>11 / 103</w:t>
      </w:r>
      <w:r w:rsidR="0040278D" w:rsidRPr="003B54E6">
        <w:rPr>
          <w:rFonts w:hint="cs"/>
          <w:sz w:val="24"/>
          <w:rtl/>
        </w:rPr>
        <w:t xml:space="preserve"> .</w:t>
      </w:r>
    </w:p>
  </w:footnote>
  <w:footnote w:id="12">
    <w:p w:rsidR="000E6B35" w:rsidRPr="003B54E6" w:rsidRDefault="000E6B35" w:rsidP="000E6B35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الفِهْرِسْت : 53 .</w:t>
      </w:r>
    </w:p>
  </w:footnote>
  <w:footnote w:id="13">
    <w:p w:rsidR="007F0DB5" w:rsidRPr="003B54E6" w:rsidRDefault="007F0DB5" w:rsidP="0003129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الفِهْرِسْت : 74 ، و</w:t>
      </w:r>
      <w:r w:rsidRPr="003B54E6">
        <w:rPr>
          <w:sz w:val="24"/>
          <w:rtl/>
        </w:rPr>
        <w:t>المحكم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فِي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نقط المصاحف</w:t>
      </w:r>
      <w:r w:rsidRPr="003B54E6">
        <w:rPr>
          <w:rFonts w:hint="cs"/>
          <w:sz w:val="24"/>
          <w:rtl/>
        </w:rPr>
        <w:t xml:space="preserve"> : 9 ، ومعرفة القراء الكبار : 1/101 ، و</w:t>
      </w:r>
      <w:r w:rsidRPr="003B54E6">
        <w:rPr>
          <w:sz w:val="24"/>
          <w:rtl/>
        </w:rPr>
        <w:t>كَشْف الظُّنُونُ</w:t>
      </w:r>
      <w:r w:rsidR="00031291">
        <w:rPr>
          <w:rFonts w:hint="cs"/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>: 2/1980 ، ومناهل العرفان : 1/321 .</w:t>
      </w:r>
    </w:p>
  </w:footnote>
  <w:footnote w:id="14">
    <w:p w:rsidR="00AA7348" w:rsidRPr="003B54E6" w:rsidRDefault="00AA7348" w:rsidP="007F0DB5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الفِهْرِسْت : 74 ، و</w:t>
      </w:r>
      <w:r w:rsidRPr="003B54E6">
        <w:rPr>
          <w:sz w:val="24"/>
          <w:rtl/>
        </w:rPr>
        <w:t>المحكم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فِي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نقط المصاحف</w:t>
      </w:r>
      <w:r w:rsidRPr="003B54E6">
        <w:rPr>
          <w:rFonts w:hint="cs"/>
          <w:sz w:val="24"/>
          <w:rtl/>
        </w:rPr>
        <w:t xml:space="preserve"> : 9 ، ومعرفة القراء الكبار : 1/101 ، </w:t>
      </w:r>
      <w:r w:rsidR="007F0DB5" w:rsidRPr="003B54E6">
        <w:rPr>
          <w:rFonts w:hint="cs"/>
          <w:sz w:val="24"/>
          <w:rtl/>
        </w:rPr>
        <w:t>وتذكرة الحفاظ : 3/213 .</w:t>
      </w:r>
    </w:p>
  </w:footnote>
  <w:footnote w:id="15">
    <w:p w:rsidR="00587040" w:rsidRPr="003B54E6" w:rsidRDefault="00587040" w:rsidP="005023AE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5023AE" w:rsidRPr="003B54E6">
        <w:rPr>
          <w:rFonts w:hint="eastAsia"/>
          <w:sz w:val="24"/>
          <w:rtl/>
        </w:rPr>
        <w:t>مراتب</w:t>
      </w:r>
      <w:r w:rsidR="005023AE" w:rsidRPr="003B54E6">
        <w:rPr>
          <w:sz w:val="24"/>
          <w:rtl/>
        </w:rPr>
        <w:t xml:space="preserve"> </w:t>
      </w:r>
      <w:r w:rsidR="005023AE" w:rsidRPr="003B54E6">
        <w:rPr>
          <w:rFonts w:hint="eastAsia"/>
          <w:sz w:val="24"/>
          <w:rtl/>
        </w:rPr>
        <w:t>النحويين</w:t>
      </w:r>
      <w:r w:rsidR="005023AE" w:rsidRPr="003B54E6">
        <w:rPr>
          <w:sz w:val="24"/>
          <w:rtl/>
        </w:rPr>
        <w:t xml:space="preserve"> </w:t>
      </w:r>
      <w:r w:rsidR="005023AE" w:rsidRPr="003B54E6">
        <w:rPr>
          <w:rFonts w:hint="cs"/>
          <w:sz w:val="24"/>
          <w:rtl/>
        </w:rPr>
        <w:t xml:space="preserve">: </w:t>
      </w:r>
      <w:r w:rsidR="005023AE" w:rsidRPr="003B54E6">
        <w:rPr>
          <w:sz w:val="24"/>
          <w:rtl/>
        </w:rPr>
        <w:t xml:space="preserve">86 - 89 </w:t>
      </w:r>
      <w:r w:rsidR="005023AE" w:rsidRPr="003B54E6">
        <w:rPr>
          <w:rFonts w:hint="cs"/>
          <w:sz w:val="24"/>
          <w:rtl/>
        </w:rPr>
        <w:t>، و</w:t>
      </w:r>
      <w:r w:rsidR="00EE34CB" w:rsidRPr="003B54E6">
        <w:rPr>
          <w:rFonts w:hint="cs"/>
          <w:sz w:val="24"/>
          <w:rtl/>
        </w:rPr>
        <w:t xml:space="preserve">الفهرست : </w:t>
      </w:r>
      <w:r w:rsidR="00EE34CB" w:rsidRPr="003B54E6">
        <w:rPr>
          <w:sz w:val="24"/>
          <w:rtl/>
        </w:rPr>
        <w:t xml:space="preserve">66 - 67 </w:t>
      </w:r>
      <w:r w:rsidR="00EE34CB" w:rsidRPr="003B54E6">
        <w:rPr>
          <w:rFonts w:hint="cs"/>
          <w:sz w:val="24"/>
          <w:rtl/>
        </w:rPr>
        <w:t xml:space="preserve">، </w:t>
      </w:r>
      <w:r w:rsidR="005023AE" w:rsidRPr="003B54E6">
        <w:rPr>
          <w:rFonts w:hint="eastAsia"/>
          <w:sz w:val="24"/>
          <w:rtl/>
        </w:rPr>
        <w:t>ونزهة</w:t>
      </w:r>
      <w:r w:rsidR="005023AE" w:rsidRPr="003B54E6">
        <w:rPr>
          <w:sz w:val="24"/>
          <w:rtl/>
        </w:rPr>
        <w:t xml:space="preserve"> </w:t>
      </w:r>
      <w:r w:rsidR="005023AE" w:rsidRPr="003B54E6">
        <w:rPr>
          <w:rFonts w:hint="eastAsia"/>
          <w:sz w:val="24"/>
          <w:rtl/>
        </w:rPr>
        <w:t>الالبا</w:t>
      </w:r>
      <w:r w:rsidR="00605971" w:rsidRPr="003B54E6">
        <w:rPr>
          <w:rFonts w:hint="cs"/>
          <w:sz w:val="24"/>
          <w:rtl/>
        </w:rPr>
        <w:t>ء</w:t>
      </w:r>
      <w:r w:rsidR="005023AE" w:rsidRPr="003B54E6">
        <w:rPr>
          <w:sz w:val="24"/>
          <w:rtl/>
        </w:rPr>
        <w:t xml:space="preserve"> </w:t>
      </w:r>
      <w:r w:rsidR="005023AE" w:rsidRPr="003B54E6">
        <w:rPr>
          <w:rFonts w:hint="cs"/>
          <w:sz w:val="24"/>
          <w:rtl/>
        </w:rPr>
        <w:t xml:space="preserve">: </w:t>
      </w:r>
      <w:r w:rsidR="005023AE" w:rsidRPr="003B54E6">
        <w:rPr>
          <w:sz w:val="24"/>
          <w:rtl/>
        </w:rPr>
        <w:t xml:space="preserve">126 </w:t>
      </w:r>
      <w:r w:rsidR="005023AE" w:rsidRPr="003B54E6">
        <w:rPr>
          <w:rFonts w:hint="cs"/>
          <w:sz w:val="24"/>
          <w:rtl/>
        </w:rPr>
        <w:t xml:space="preserve">، </w:t>
      </w:r>
      <w:r w:rsidR="00EE34CB" w:rsidRPr="003B54E6">
        <w:rPr>
          <w:rFonts w:hint="cs"/>
          <w:sz w:val="24"/>
          <w:rtl/>
        </w:rPr>
        <w:t>و</w:t>
      </w:r>
      <w:r w:rsidR="00EE34CB" w:rsidRPr="003B54E6">
        <w:rPr>
          <w:rFonts w:hint="eastAsia"/>
          <w:sz w:val="24"/>
          <w:rtl/>
        </w:rPr>
        <w:t>إرشاد</w:t>
      </w:r>
      <w:r w:rsidR="00EE34CB" w:rsidRPr="003B54E6">
        <w:rPr>
          <w:sz w:val="24"/>
          <w:rtl/>
        </w:rPr>
        <w:t xml:space="preserve"> </w:t>
      </w:r>
      <w:r w:rsidR="00EE34CB" w:rsidRPr="003B54E6">
        <w:rPr>
          <w:rFonts w:hint="eastAsia"/>
          <w:sz w:val="24"/>
          <w:rtl/>
        </w:rPr>
        <w:t>ال</w:t>
      </w:r>
      <w:r w:rsidR="00EE34CB" w:rsidRPr="003B54E6">
        <w:rPr>
          <w:rFonts w:hint="cs"/>
          <w:sz w:val="24"/>
          <w:rtl/>
        </w:rPr>
        <w:t>أ</w:t>
      </w:r>
      <w:r w:rsidR="00EE34CB" w:rsidRPr="003B54E6">
        <w:rPr>
          <w:rFonts w:hint="eastAsia"/>
          <w:sz w:val="24"/>
          <w:rtl/>
        </w:rPr>
        <w:t>ريب</w:t>
      </w:r>
      <w:r w:rsidR="00EE34CB" w:rsidRPr="003B54E6">
        <w:rPr>
          <w:sz w:val="24"/>
          <w:rtl/>
        </w:rPr>
        <w:t xml:space="preserve"> : </w:t>
      </w:r>
      <w:r w:rsidR="00EE34CB" w:rsidRPr="003B54E6">
        <w:rPr>
          <w:rFonts w:hint="cs"/>
          <w:sz w:val="24"/>
          <w:rtl/>
        </w:rPr>
        <w:t xml:space="preserve">7/ </w:t>
      </w:r>
      <w:r w:rsidR="00EE34CB" w:rsidRPr="003B54E6">
        <w:rPr>
          <w:sz w:val="24"/>
          <w:rtl/>
        </w:rPr>
        <w:t xml:space="preserve">276 </w:t>
      </w:r>
      <w:r w:rsidR="00EE34CB" w:rsidRPr="003B54E6">
        <w:rPr>
          <w:rFonts w:hint="cs"/>
          <w:sz w:val="24"/>
          <w:rtl/>
        </w:rPr>
        <w:t xml:space="preserve">، </w:t>
      </w:r>
      <w:r w:rsidR="00020BCB" w:rsidRPr="003B54E6">
        <w:rPr>
          <w:rFonts w:hint="eastAsia"/>
          <w:sz w:val="24"/>
          <w:rtl/>
        </w:rPr>
        <w:t>ووفيات</w:t>
      </w:r>
      <w:r w:rsidR="00020BCB" w:rsidRPr="003B54E6">
        <w:rPr>
          <w:sz w:val="24"/>
          <w:rtl/>
        </w:rPr>
        <w:t xml:space="preserve"> </w:t>
      </w:r>
      <w:r w:rsidR="00020BCB" w:rsidRPr="003B54E6">
        <w:rPr>
          <w:rFonts w:hint="cs"/>
          <w:sz w:val="24"/>
          <w:rtl/>
        </w:rPr>
        <w:t>الأعيان</w:t>
      </w:r>
      <w:r w:rsidR="00020BCB" w:rsidRPr="003B54E6">
        <w:rPr>
          <w:sz w:val="24"/>
          <w:rtl/>
        </w:rPr>
        <w:t xml:space="preserve"> : </w:t>
      </w:r>
      <w:r w:rsidR="00020BCB" w:rsidRPr="003B54E6">
        <w:rPr>
          <w:rFonts w:hint="cs"/>
          <w:sz w:val="24"/>
          <w:rtl/>
        </w:rPr>
        <w:t xml:space="preserve">2/ </w:t>
      </w:r>
      <w:r w:rsidR="00020BCB" w:rsidRPr="003B54E6">
        <w:rPr>
          <w:sz w:val="24"/>
          <w:rtl/>
        </w:rPr>
        <w:t xml:space="preserve">228 </w:t>
      </w:r>
      <w:r w:rsidR="00020BCB" w:rsidRPr="003B54E6">
        <w:rPr>
          <w:rFonts w:hint="cs"/>
          <w:sz w:val="24"/>
          <w:rtl/>
        </w:rPr>
        <w:t xml:space="preserve">، </w:t>
      </w:r>
      <w:r w:rsidR="00020BCB" w:rsidRPr="003B54E6">
        <w:rPr>
          <w:rFonts w:hint="eastAsia"/>
          <w:sz w:val="24"/>
          <w:rtl/>
        </w:rPr>
        <w:t>وغاية</w:t>
      </w:r>
      <w:r w:rsidR="00020BCB" w:rsidRPr="003B54E6">
        <w:rPr>
          <w:sz w:val="24"/>
          <w:rtl/>
        </w:rPr>
        <w:t xml:space="preserve"> </w:t>
      </w:r>
      <w:r w:rsidR="00020BCB" w:rsidRPr="003B54E6">
        <w:rPr>
          <w:rFonts w:hint="eastAsia"/>
          <w:sz w:val="24"/>
          <w:rtl/>
        </w:rPr>
        <w:t>النهاية</w:t>
      </w:r>
      <w:r w:rsidR="00020BCB" w:rsidRPr="003B54E6">
        <w:rPr>
          <w:sz w:val="24"/>
          <w:rtl/>
        </w:rPr>
        <w:t xml:space="preserve"> : </w:t>
      </w:r>
      <w:r w:rsidR="00020BCB" w:rsidRPr="003B54E6">
        <w:rPr>
          <w:rFonts w:hint="cs"/>
          <w:sz w:val="24"/>
          <w:rtl/>
        </w:rPr>
        <w:t>2/</w:t>
      </w:r>
      <w:r w:rsidR="00020BCB" w:rsidRPr="003B54E6">
        <w:rPr>
          <w:sz w:val="24"/>
          <w:rtl/>
        </w:rPr>
        <w:t xml:space="preserve">371 </w:t>
      </w:r>
      <w:r w:rsidR="00020BCB" w:rsidRPr="003B54E6">
        <w:rPr>
          <w:rFonts w:hint="cs"/>
          <w:sz w:val="24"/>
          <w:rtl/>
        </w:rPr>
        <w:t xml:space="preserve">، </w:t>
      </w:r>
      <w:r w:rsidR="00EE34CB" w:rsidRPr="003B54E6">
        <w:rPr>
          <w:rFonts w:hint="eastAsia"/>
          <w:sz w:val="24"/>
          <w:rtl/>
        </w:rPr>
        <w:t>ومفتاح</w:t>
      </w:r>
      <w:r w:rsidR="00EE34CB" w:rsidRPr="003B54E6">
        <w:rPr>
          <w:sz w:val="24"/>
          <w:rtl/>
        </w:rPr>
        <w:t xml:space="preserve"> </w:t>
      </w:r>
      <w:r w:rsidR="00EE34CB" w:rsidRPr="003B54E6">
        <w:rPr>
          <w:rFonts w:hint="eastAsia"/>
          <w:sz w:val="24"/>
          <w:rtl/>
        </w:rPr>
        <w:t>السعادة</w:t>
      </w:r>
      <w:r w:rsidR="00EE34CB" w:rsidRPr="003B54E6">
        <w:rPr>
          <w:sz w:val="24"/>
          <w:rtl/>
        </w:rPr>
        <w:t xml:space="preserve"> : </w:t>
      </w:r>
      <w:r w:rsidR="005023AE" w:rsidRPr="003B54E6">
        <w:rPr>
          <w:rFonts w:hint="cs"/>
          <w:sz w:val="24"/>
          <w:rtl/>
        </w:rPr>
        <w:t xml:space="preserve">            </w:t>
      </w:r>
      <w:r w:rsidR="00266389" w:rsidRPr="003B54E6">
        <w:rPr>
          <w:rFonts w:hint="cs"/>
          <w:sz w:val="24"/>
          <w:rtl/>
        </w:rPr>
        <w:t xml:space="preserve">1/ </w:t>
      </w:r>
      <w:r w:rsidR="00EE34CB" w:rsidRPr="003B54E6">
        <w:rPr>
          <w:sz w:val="24"/>
          <w:rtl/>
        </w:rPr>
        <w:t xml:space="preserve">144 </w:t>
      </w:r>
      <w:r w:rsidR="005023AE" w:rsidRPr="003B54E6">
        <w:rPr>
          <w:rFonts w:hint="cs"/>
          <w:sz w:val="24"/>
          <w:rtl/>
        </w:rPr>
        <w:t>.</w:t>
      </w:r>
    </w:p>
  </w:footnote>
  <w:footnote w:id="16">
    <w:p w:rsidR="00D94DF5" w:rsidRPr="003B54E6" w:rsidRDefault="00D94DF5" w:rsidP="00DF1649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DF1649"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</w:t>
      </w:r>
      <w:r w:rsidR="00DF1649" w:rsidRPr="003B54E6">
        <w:rPr>
          <w:rFonts w:hint="cs"/>
          <w:sz w:val="24"/>
          <w:rtl/>
        </w:rPr>
        <w:t>:</w:t>
      </w:r>
      <w:r w:rsidRPr="003B54E6">
        <w:rPr>
          <w:sz w:val="24"/>
          <w:rtl/>
        </w:rPr>
        <w:t xml:space="preserve"> 100ـ 104 ، و</w:t>
      </w:r>
      <w:r w:rsidR="00DF1649" w:rsidRPr="003B54E6">
        <w:rPr>
          <w:rFonts w:hint="cs"/>
          <w:sz w:val="24"/>
          <w:rtl/>
        </w:rPr>
        <w:t xml:space="preserve">إرشاد الأريب : </w:t>
      </w:r>
      <w:r w:rsidRPr="003B54E6">
        <w:rPr>
          <w:sz w:val="24"/>
          <w:rtl/>
        </w:rPr>
        <w:t xml:space="preserve">5/309. </w:t>
      </w:r>
    </w:p>
  </w:footnote>
  <w:footnote w:id="17">
    <w:p w:rsidR="0001379A" w:rsidRPr="003B54E6" w:rsidRDefault="0001379A" w:rsidP="004D3728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4D3728" w:rsidRPr="003B54E6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D3728" w:rsidRPr="003B54E6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="004D3728" w:rsidRPr="003B54E6">
        <w:rPr>
          <w:rFonts w:ascii="Simplified Arabic" w:hint="cs"/>
          <w:color w:val="000000"/>
          <w:sz w:val="24"/>
          <w:rtl/>
          <w:lang w:bidi="ar-IQ"/>
        </w:rPr>
        <w:t>8/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>322</w:t>
      </w:r>
      <w:r w:rsidR="003858B5" w:rsidRPr="003B54E6">
        <w:rPr>
          <w:rFonts w:hint="cs"/>
          <w:sz w:val="24"/>
          <w:rtl/>
        </w:rPr>
        <w:t xml:space="preserve"> </w:t>
      </w:r>
      <w:r w:rsidR="004D3728" w:rsidRPr="003B54E6">
        <w:rPr>
          <w:rFonts w:hint="cs"/>
          <w:sz w:val="24"/>
          <w:rtl/>
        </w:rPr>
        <w:t>، و</w:t>
      </w:r>
      <w:r w:rsidR="004D3728" w:rsidRPr="003B54E6">
        <w:rPr>
          <w:rFonts w:ascii="Simplified Arabic" w:hint="eastAsia"/>
          <w:color w:val="000000"/>
          <w:sz w:val="24"/>
          <w:rtl/>
          <w:lang w:bidi="ar-IQ"/>
        </w:rPr>
        <w:t xml:space="preserve"> غاية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D3728" w:rsidRPr="003B54E6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="004D3728" w:rsidRPr="003B54E6">
        <w:rPr>
          <w:rFonts w:ascii="Simplified Arabic" w:hint="cs"/>
          <w:color w:val="000000"/>
          <w:sz w:val="24"/>
          <w:rtl/>
          <w:lang w:bidi="ar-IQ"/>
        </w:rPr>
        <w:t>1/</w:t>
      </w:r>
      <w:r w:rsidR="004D3728" w:rsidRPr="003B54E6">
        <w:rPr>
          <w:rFonts w:ascii="Simplified Arabic"/>
          <w:color w:val="000000"/>
          <w:sz w:val="24"/>
          <w:rtl/>
          <w:lang w:bidi="ar-IQ"/>
        </w:rPr>
        <w:t>273</w:t>
      </w:r>
      <w:r w:rsidR="004D3728"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18">
    <w:p w:rsidR="00242423" w:rsidRPr="003B54E6" w:rsidRDefault="00242423" w:rsidP="00242423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معرفة القراء الكبار 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>1/ 213 و 214</w:t>
      </w:r>
      <w:r w:rsidRPr="003B54E6">
        <w:rPr>
          <w:rFonts w:hint="cs"/>
          <w:sz w:val="24"/>
          <w:rtl/>
        </w:rPr>
        <w:t xml:space="preserve"> .</w:t>
      </w:r>
    </w:p>
  </w:footnote>
  <w:footnote w:id="19">
    <w:p w:rsidR="00144B99" w:rsidRPr="003B54E6" w:rsidRDefault="00144B99" w:rsidP="003B3D4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الوافي </w:t>
      </w:r>
      <w:r w:rsidR="00336803" w:rsidRPr="003B54E6">
        <w:rPr>
          <w:rFonts w:hint="cs"/>
          <w:sz w:val="24"/>
          <w:rtl/>
        </w:rPr>
        <w:t xml:space="preserve">بالوفيات </w:t>
      </w:r>
      <w:r w:rsidRPr="003B54E6">
        <w:rPr>
          <w:sz w:val="24"/>
          <w:rtl/>
        </w:rPr>
        <w:t xml:space="preserve">: </w:t>
      </w:r>
      <w:r w:rsidR="00336803" w:rsidRPr="003B54E6">
        <w:rPr>
          <w:rFonts w:hint="cs"/>
          <w:sz w:val="24"/>
          <w:rtl/>
        </w:rPr>
        <w:t>4/</w:t>
      </w:r>
      <w:r w:rsidRPr="003B54E6">
        <w:rPr>
          <w:sz w:val="24"/>
          <w:rtl/>
        </w:rPr>
        <w:t xml:space="preserve">294 </w:t>
      </w:r>
      <w:r w:rsidR="00484739" w:rsidRPr="003B54E6">
        <w:rPr>
          <w:rFonts w:hint="cs"/>
          <w:sz w:val="24"/>
          <w:rtl/>
        </w:rPr>
        <w:t>، و</w:t>
      </w:r>
      <w:r w:rsidR="00484739" w:rsidRPr="003B54E6">
        <w:rPr>
          <w:sz w:val="24"/>
          <w:rtl/>
        </w:rPr>
        <w:t>غاية النِّهَايَة</w:t>
      </w:r>
      <w:r w:rsidR="00484739" w:rsidRPr="003B54E6">
        <w:rPr>
          <w:rFonts w:hint="cs"/>
          <w:sz w:val="24"/>
          <w:rtl/>
        </w:rPr>
        <w:t xml:space="preserve"> </w:t>
      </w:r>
      <w:r w:rsidR="00484739" w:rsidRPr="003B54E6">
        <w:rPr>
          <w:sz w:val="24"/>
          <w:rtl/>
        </w:rPr>
        <w:t xml:space="preserve">: </w:t>
      </w:r>
      <w:r w:rsidR="00484739" w:rsidRPr="003B54E6">
        <w:rPr>
          <w:rFonts w:hint="cs"/>
          <w:sz w:val="24"/>
          <w:rtl/>
        </w:rPr>
        <w:t xml:space="preserve">2/ </w:t>
      </w:r>
      <w:r w:rsidR="00484739" w:rsidRPr="003B54E6">
        <w:rPr>
          <w:sz w:val="24"/>
          <w:rtl/>
        </w:rPr>
        <w:t>223</w:t>
      </w:r>
      <w:r w:rsidR="00484739" w:rsidRPr="003B54E6">
        <w:rPr>
          <w:rFonts w:hint="cs"/>
          <w:sz w:val="24"/>
          <w:rtl/>
        </w:rPr>
        <w:t xml:space="preserve"> ـ</w:t>
      </w:r>
      <w:r w:rsidR="00484739" w:rsidRPr="003B54E6">
        <w:rPr>
          <w:sz w:val="24"/>
          <w:rtl/>
        </w:rPr>
        <w:t xml:space="preserve"> 224</w:t>
      </w:r>
      <w:r w:rsidR="00484739" w:rsidRPr="003B54E6">
        <w:rPr>
          <w:rFonts w:hint="cs"/>
          <w:sz w:val="24"/>
          <w:rtl/>
        </w:rPr>
        <w:t xml:space="preserve"> .</w:t>
      </w:r>
    </w:p>
  </w:footnote>
  <w:footnote w:id="20">
    <w:p w:rsidR="00EC12FA" w:rsidRPr="003B54E6" w:rsidRDefault="00EC12FA" w:rsidP="00522D2B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</w:t>
      </w:r>
      <w:r w:rsidRPr="003B54E6">
        <w:rPr>
          <w:rFonts w:hint="cs"/>
          <w:sz w:val="24"/>
          <w:rtl/>
        </w:rPr>
        <w:t>:</w:t>
      </w:r>
      <w:r w:rsidRPr="003B54E6">
        <w:rPr>
          <w:sz w:val="24"/>
          <w:rtl/>
        </w:rPr>
        <w:t xml:space="preserve"> 64 </w:t>
      </w:r>
      <w:r w:rsidRPr="003B54E6">
        <w:rPr>
          <w:rFonts w:hint="cs"/>
          <w:sz w:val="24"/>
          <w:rtl/>
        </w:rPr>
        <w:t xml:space="preserve">، </w:t>
      </w:r>
      <w:r w:rsidR="00522D2B" w:rsidRPr="003B54E6">
        <w:rPr>
          <w:rFonts w:hint="cs"/>
          <w:sz w:val="24"/>
          <w:rtl/>
        </w:rPr>
        <w:t xml:space="preserve">وإرشاد الأريب : </w:t>
      </w:r>
      <w:r w:rsidR="00522D2B" w:rsidRPr="003B54E6">
        <w:rPr>
          <w:sz w:val="24"/>
          <w:rtl/>
        </w:rPr>
        <w:t>11/ 265</w:t>
      </w:r>
      <w:r w:rsidR="00522D2B" w:rsidRPr="003B54E6">
        <w:rPr>
          <w:rFonts w:hint="cs"/>
          <w:sz w:val="24"/>
          <w:rtl/>
        </w:rPr>
        <w:t xml:space="preserve"> .</w:t>
      </w:r>
    </w:p>
  </w:footnote>
  <w:footnote w:id="21">
    <w:p w:rsidR="004D3728" w:rsidRPr="003B54E6" w:rsidRDefault="004D3728" w:rsidP="00717C35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</w:t>
      </w:r>
      <w:r w:rsidRPr="003B54E6">
        <w:rPr>
          <w:snapToGrid w:val="0"/>
          <w:color w:val="000000"/>
          <w:sz w:val="24"/>
          <w:rtl/>
        </w:rPr>
        <w:t>تاريخ بغداد: 5/204 ، ونزهة الألباء : 293 ، و</w:t>
      </w:r>
      <w:r w:rsidRPr="003B54E6">
        <w:rPr>
          <w:sz w:val="24"/>
          <w:rtl/>
        </w:rPr>
        <w:t xml:space="preserve"> إِنْباه الرُّوَاة عَلَى أَنْبَاه النُّحَاة ، للوزير أَبِي الْحَسَن جمال الدِّين علي بن يوسف بن إبْرَاهِيم الشَّيْبَانِيّ القِفْطِي ، ( ت 646هـ ) ، تحقيق :مُحَمَّد أَبِي الْفَضْل إبْرَاهِيم ، مطبعة دار الكتب المصرية ، القاهرة ، ط1 ج 1 سنة 1950 ، ج 2 سنة 1952 ، ج 3 سنة 1955 ، ج 4 سنة 1973م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: 1/ 138 ، ووفيات الأعيان : 1/30 ،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 xml:space="preserve">وتذكرة الحفاظ : </w:t>
      </w:r>
      <w:r w:rsidR="00717C35" w:rsidRPr="003B54E6">
        <w:rPr>
          <w:rFonts w:hint="cs"/>
          <w:snapToGrid w:val="0"/>
          <w:color w:val="000000"/>
          <w:sz w:val="24"/>
          <w:rtl/>
        </w:rPr>
        <w:t xml:space="preserve">             </w:t>
      </w:r>
      <w:r w:rsidRPr="003B54E6">
        <w:rPr>
          <w:snapToGrid w:val="0"/>
          <w:color w:val="000000"/>
          <w:sz w:val="24"/>
          <w:rtl/>
        </w:rPr>
        <w:t>2/ 214 ، وبغية الوعاة : 172، و</w:t>
      </w:r>
      <w:r w:rsidRPr="003B54E6">
        <w:rPr>
          <w:sz w:val="24"/>
          <w:rtl/>
        </w:rPr>
        <w:t>كشف الظنون : 1/164 .</w:t>
      </w:r>
    </w:p>
  </w:footnote>
  <w:footnote w:id="22">
    <w:p w:rsidR="00E22508" w:rsidRPr="003B54E6" w:rsidRDefault="00E22508" w:rsidP="0051749D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453879" w:rsidRPr="003B54E6">
        <w:rPr>
          <w:rFonts w:hint="cs"/>
          <w:sz w:val="24"/>
          <w:rtl/>
        </w:rPr>
        <w:t xml:space="preserve">يُنْظَرُ : </w:t>
      </w:r>
      <w:r w:rsidR="004F23A4" w:rsidRPr="003B54E6">
        <w:rPr>
          <w:rFonts w:hint="cs"/>
          <w:sz w:val="24"/>
          <w:rtl/>
        </w:rPr>
        <w:t xml:space="preserve">الفِهْرِسْت : 65 ، </w:t>
      </w:r>
      <w:r w:rsidR="00BC08C9" w:rsidRPr="003B54E6">
        <w:rPr>
          <w:rFonts w:hint="cs"/>
          <w:sz w:val="24"/>
          <w:rtl/>
        </w:rPr>
        <w:t xml:space="preserve">الوافي بالوفيات : 5/142 ، </w:t>
      </w:r>
      <w:r w:rsidR="004F23A4"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بغية الوعاة :</w:t>
      </w:r>
      <w:r w:rsidR="0051749D" w:rsidRPr="003B54E6">
        <w:rPr>
          <w:sz w:val="24"/>
          <w:rtl/>
        </w:rPr>
        <w:t xml:space="preserve"> </w:t>
      </w:r>
      <w:r w:rsidRPr="003B54E6">
        <w:rPr>
          <w:sz w:val="24"/>
          <w:rtl/>
        </w:rPr>
        <w:t xml:space="preserve">269 – 271 </w:t>
      </w:r>
      <w:r w:rsidR="004F23A4" w:rsidRPr="003B54E6">
        <w:rPr>
          <w:rFonts w:hint="cs"/>
          <w:sz w:val="24"/>
          <w:rtl/>
        </w:rPr>
        <w:t xml:space="preserve">، </w:t>
      </w:r>
      <w:r w:rsidR="0095150F" w:rsidRPr="003B54E6">
        <w:rPr>
          <w:rFonts w:hint="cs"/>
          <w:sz w:val="24"/>
          <w:rtl/>
        </w:rPr>
        <w:t>و</w:t>
      </w:r>
      <w:r w:rsidR="004F23A4" w:rsidRPr="003B54E6">
        <w:rPr>
          <w:sz w:val="24"/>
          <w:rtl/>
        </w:rPr>
        <w:t>هَدِيَّةُ العَارِفِين</w:t>
      </w:r>
      <w:r w:rsidR="004F23A4" w:rsidRPr="003B54E6">
        <w:rPr>
          <w:rFonts w:hint="cs"/>
          <w:sz w:val="24"/>
          <w:rtl/>
        </w:rPr>
        <w:t xml:space="preserve"> :</w:t>
      </w:r>
      <w:r w:rsidR="0095150F" w:rsidRPr="003B54E6">
        <w:rPr>
          <w:rFonts w:hint="cs"/>
          <w:sz w:val="24"/>
          <w:rtl/>
        </w:rPr>
        <w:t xml:space="preserve"> 2/4 .</w:t>
      </w:r>
    </w:p>
  </w:footnote>
  <w:footnote w:id="23">
    <w:p w:rsidR="005B4417" w:rsidRPr="003B54E6" w:rsidRDefault="005B4417" w:rsidP="00332C4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</w:t>
      </w:r>
      <w:r w:rsidRPr="003B54E6">
        <w:rPr>
          <w:sz w:val="24"/>
          <w:rtl/>
        </w:rPr>
        <w:tab/>
        <w:t xml:space="preserve">ينظر : </w:t>
      </w:r>
      <w:r w:rsidR="00332C44" w:rsidRPr="003B54E6">
        <w:rPr>
          <w:sz w:val="24"/>
          <w:rtl/>
        </w:rPr>
        <w:t xml:space="preserve">الفهرست </w:t>
      </w:r>
      <w:r w:rsidR="00332C44" w:rsidRPr="003B54E6">
        <w:rPr>
          <w:rFonts w:hint="cs"/>
          <w:sz w:val="24"/>
          <w:rtl/>
        </w:rPr>
        <w:t>:</w:t>
      </w:r>
      <w:r w:rsidR="00332C44" w:rsidRPr="003B54E6">
        <w:rPr>
          <w:sz w:val="24"/>
          <w:rtl/>
        </w:rPr>
        <w:t xml:space="preserve"> 227 </w:t>
      </w:r>
      <w:r w:rsidR="00332C44" w:rsidRPr="003B54E6">
        <w:rPr>
          <w:rFonts w:hint="cs"/>
          <w:sz w:val="24"/>
          <w:rtl/>
        </w:rPr>
        <w:t>، و</w:t>
      </w:r>
      <w:r w:rsidRPr="003B54E6">
        <w:rPr>
          <w:sz w:val="24"/>
          <w:rtl/>
        </w:rPr>
        <w:t xml:space="preserve">تذكرة الحفاظ : 11 / 175 ـ 176 ، </w:t>
      </w:r>
      <w:r w:rsidR="00332C44"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شذرات الذهب</w:t>
      </w:r>
      <w:r w:rsidR="00332C44"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 xml:space="preserve">: 2 / 8 </w:t>
      </w:r>
      <w:r w:rsidR="00332C44" w:rsidRPr="003B54E6">
        <w:rPr>
          <w:rFonts w:hint="cs"/>
          <w:sz w:val="24"/>
          <w:rtl/>
        </w:rPr>
        <w:t xml:space="preserve">. </w:t>
      </w:r>
    </w:p>
  </w:footnote>
  <w:footnote w:id="24">
    <w:p w:rsidR="006B19C4" w:rsidRPr="003B54E6" w:rsidRDefault="006B19C4" w:rsidP="006B19C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الطَبَقَات الكُبْرَى : 7 /355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 xml:space="preserve">تهذيب التهذيب : 8 /315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 xml:space="preserve">غاية النهاية : 2 /17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 xml:space="preserve">تَقْرِيْب التَهْذِيب : 303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طبقات المفسرين : 2/ 377 .</w:t>
      </w:r>
    </w:p>
  </w:footnote>
  <w:footnote w:id="25">
    <w:p w:rsidR="00BC2A58" w:rsidRPr="003B54E6" w:rsidRDefault="00BC2A58" w:rsidP="00BC2A58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النشاط الفكري في العراق : 58.  </w:t>
      </w:r>
    </w:p>
  </w:footnote>
  <w:footnote w:id="26">
    <w:p w:rsidR="007925D6" w:rsidRPr="003B54E6" w:rsidRDefault="007925D6" w:rsidP="007925D6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تاريخ بغداد 3/ 376.</w:t>
      </w:r>
    </w:p>
  </w:footnote>
  <w:footnote w:id="27">
    <w:p w:rsidR="007925D6" w:rsidRPr="003B54E6" w:rsidRDefault="007925D6" w:rsidP="007925D6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الإِقْنَاع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فِي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القراءات السبع ، لأبي جعفر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 xml:space="preserve">أَحْمَد بن علي بن خلف الأنصاري المعروف بابن الباذش ، </w:t>
      </w:r>
      <w:r w:rsidRPr="003B54E6">
        <w:rPr>
          <w:rFonts w:hint="cs"/>
          <w:sz w:val="24"/>
          <w:rtl/>
        </w:rPr>
        <w:t xml:space="preserve">           </w:t>
      </w:r>
      <w:r w:rsidRPr="003B54E6">
        <w:rPr>
          <w:sz w:val="24"/>
          <w:rtl/>
        </w:rPr>
        <w:t>( ت 540هـ ) ، تحقيق :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أَحْمَد فريد المربدي ، قدم له وقرظه : فتحي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عبدالرحمن حجازي ، دَار الكتب العلمية ، بَيْرُوْت ، لَبْنَان ، ط1 ، 1419 هـ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– 1999م</w:t>
      </w:r>
      <w:r w:rsidRPr="003B54E6">
        <w:rPr>
          <w:rFonts w:hint="cs"/>
          <w:sz w:val="24"/>
          <w:rtl/>
        </w:rPr>
        <w:t xml:space="preserve"> : 1/224 .</w:t>
      </w:r>
    </w:p>
  </w:footnote>
  <w:footnote w:id="28">
    <w:p w:rsidR="00EB34E5" w:rsidRPr="003B54E6" w:rsidRDefault="00EB34E5" w:rsidP="00EB34E5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ميزان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الاعتدال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3/ 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246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،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و</w:t>
      </w:r>
      <w:r w:rsidRPr="003B54E6">
        <w:rPr>
          <w:sz w:val="24"/>
          <w:rtl/>
        </w:rPr>
        <w:t>لِسَان المِيْزان ، لأبي الْفَضْل أَحْمَد بن علي بن حجر العسقلاني الشَّافِعِيّ ، ( ت 852 هـ ) ، مؤسسة الأعلمي للمطبوعات ، بَيْرُوْت ، ط3 ، 1406هـ ـ 1986م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6/ </w:t>
      </w:r>
      <w:r w:rsidRPr="003B54E6">
        <w:rPr>
          <w:rFonts w:ascii="Simplified Arabic"/>
          <w:color w:val="000000"/>
          <w:sz w:val="24"/>
          <w:rtl/>
          <w:lang w:bidi="ar-IQ"/>
        </w:rPr>
        <w:t>177</w:t>
      </w:r>
    </w:p>
  </w:footnote>
  <w:footnote w:id="29">
    <w:p w:rsidR="00A974D9" w:rsidRPr="003B54E6" w:rsidRDefault="00A974D9" w:rsidP="00A974D9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تاريخ بغداد 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>6/ 367.</w:t>
      </w:r>
    </w:p>
  </w:footnote>
  <w:footnote w:id="30">
    <w:p w:rsidR="00AD6A00" w:rsidRPr="003B54E6" w:rsidRDefault="00AD6A00" w:rsidP="003A4063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3A4063" w:rsidRPr="003B54E6">
        <w:rPr>
          <w:rFonts w:hint="cs"/>
          <w:sz w:val="24"/>
          <w:rtl/>
        </w:rPr>
        <w:t>ت</w:t>
      </w:r>
      <w:r w:rsidRPr="003B54E6">
        <w:rPr>
          <w:sz w:val="24"/>
          <w:rtl/>
        </w:rPr>
        <w:t xml:space="preserve">هذيب التهذيب : 4/226 </w:t>
      </w:r>
      <w:r w:rsidR="003A4063" w:rsidRPr="003B54E6">
        <w:rPr>
          <w:rFonts w:hint="cs"/>
          <w:sz w:val="24"/>
          <w:rtl/>
        </w:rPr>
        <w:t>، و</w:t>
      </w:r>
      <w:r w:rsidRPr="003B54E6">
        <w:rPr>
          <w:sz w:val="24"/>
          <w:rtl/>
        </w:rPr>
        <w:t>هدية العارفين : 1/ 411 .</w:t>
      </w:r>
    </w:p>
  </w:footnote>
  <w:footnote w:id="31">
    <w:p w:rsidR="00AD6A00" w:rsidRPr="003B54E6" w:rsidRDefault="00AD6A00" w:rsidP="00E32BAA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snapToGrid w:val="0"/>
          <w:sz w:val="24"/>
          <w:rtl/>
        </w:rPr>
        <w:t xml:space="preserve">يُنْظَرُ : </w:t>
      </w:r>
      <w:r w:rsidRPr="003B54E6">
        <w:rPr>
          <w:snapToGrid w:val="0"/>
          <w:color w:val="000000"/>
          <w:sz w:val="24"/>
          <w:rtl/>
        </w:rPr>
        <w:t>تاريخ بغداد : 6/ 284 ، و</w:t>
      </w:r>
      <w:r w:rsidRPr="003B54E6">
        <w:rPr>
          <w:sz w:val="24"/>
          <w:rtl/>
        </w:rPr>
        <w:t xml:space="preserve">تَارِيْخ قُضاة الأنْدَلُس ( المَرْقَبَة العُلْيا فيمن يستحق القَضاء والفُتيا ) لأبي الحسن علي بن عَبْد اللَّه بن مُحَمَّد بن مُحَمَّد بن الْحَسَن النُّبَاهي المَالَقي الأَنْدَلُسي ، ( كان حياً سنة 793هـ ) ، المكتب التجاري للطباعة والنشر ، بَيْرُوْت ، بلا تاريخ </w:t>
      </w:r>
      <w:r w:rsidRPr="003B54E6">
        <w:rPr>
          <w:snapToGrid w:val="0"/>
          <w:color w:val="000000"/>
          <w:sz w:val="24"/>
          <w:rtl/>
        </w:rPr>
        <w:t>: 33 ، و</w:t>
      </w:r>
      <w:r w:rsidR="00E32BAA" w:rsidRPr="003B54E6">
        <w:rPr>
          <w:sz w:val="24"/>
          <w:rtl/>
        </w:rPr>
        <w:t xml:space="preserve"> الدِّيْبَاج الْمَذْهَب فِي مَعْرِفَة أَعْيَان عُلَمَاء الْمَذْهَب ، لبُرْهان الدِّين إبْرَاهِيم بن علي بن مُحَمَّد بن فَرْحُون المَالِكي اليعمري ، ( ت 799هـ ) ، دَار الكتب العلمية ، بَيْرُوْت ، بلا تاريخ</w:t>
      </w:r>
      <w:r w:rsidR="00E32BAA"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: 92 .</w:t>
      </w:r>
    </w:p>
  </w:footnote>
  <w:footnote w:id="32">
    <w:p w:rsidR="0010431C" w:rsidRPr="003B54E6" w:rsidRDefault="0010431C" w:rsidP="0010431C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snapToGrid w:val="0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</w:t>
      </w:r>
      <w:r w:rsidRPr="003B54E6">
        <w:rPr>
          <w:rFonts w:hint="cs"/>
          <w:sz w:val="24"/>
          <w:rtl/>
        </w:rPr>
        <w:t>:</w:t>
      </w:r>
      <w:r w:rsidRPr="003B54E6">
        <w:rPr>
          <w:sz w:val="24"/>
          <w:rtl/>
        </w:rPr>
        <w:t xml:space="preserve"> 65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.</w:t>
      </w:r>
    </w:p>
  </w:footnote>
  <w:footnote w:id="33">
    <w:p w:rsidR="002961FC" w:rsidRPr="003B54E6" w:rsidRDefault="002961FC" w:rsidP="00D908C6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معرفة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القراء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الكبار : 1</w:t>
      </w:r>
      <w:r w:rsidRPr="003B54E6">
        <w:rPr>
          <w:rFonts w:ascii="Simplified Arabic"/>
          <w:color w:val="000000"/>
          <w:sz w:val="24"/>
          <w:rtl/>
          <w:lang w:bidi="ar-IQ"/>
        </w:rPr>
        <w:t>/191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="00D908C6" w:rsidRPr="003B54E6">
        <w:rPr>
          <w:rFonts w:ascii="Simplified Arabic" w:hint="cs"/>
          <w:color w:val="000000"/>
          <w:sz w:val="24"/>
          <w:rtl/>
          <w:lang w:bidi="ar-IQ"/>
        </w:rPr>
        <w:t>، و</w:t>
      </w:r>
      <w:r w:rsidR="00D908C6" w:rsidRPr="003B54E6">
        <w:rPr>
          <w:rFonts w:ascii="Simplified Arabic" w:hint="eastAsia"/>
          <w:color w:val="000000"/>
          <w:sz w:val="24"/>
          <w:rtl/>
          <w:lang w:bidi="ar-IQ"/>
        </w:rPr>
        <w:t xml:space="preserve"> غاية</w:t>
      </w:r>
      <w:r w:rsidR="00D908C6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D908C6" w:rsidRPr="003B54E6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="00D908C6" w:rsidRPr="003B54E6">
        <w:rPr>
          <w:rFonts w:ascii="Simplified Arabic"/>
          <w:color w:val="000000"/>
          <w:sz w:val="24"/>
          <w:rtl/>
          <w:lang w:bidi="ar-IQ"/>
        </w:rPr>
        <w:t>2</w:t>
      </w:r>
      <w:r w:rsidR="00D908C6" w:rsidRPr="003B54E6">
        <w:rPr>
          <w:rFonts w:ascii="Simplified Arabic" w:hint="cs"/>
          <w:color w:val="000000"/>
          <w:sz w:val="24"/>
          <w:rtl/>
          <w:lang w:bidi="ar-IQ"/>
        </w:rPr>
        <w:t xml:space="preserve"> : </w:t>
      </w:r>
      <w:r w:rsidR="00D908C6" w:rsidRPr="003B54E6">
        <w:rPr>
          <w:rFonts w:ascii="Simplified Arabic"/>
          <w:color w:val="000000"/>
          <w:sz w:val="24"/>
          <w:rtl/>
          <w:lang w:bidi="ar-IQ"/>
        </w:rPr>
        <w:t>/10</w:t>
      </w:r>
      <w:r w:rsidR="00D908C6" w:rsidRPr="003B54E6">
        <w:rPr>
          <w:rFonts w:ascii="Simplified Arabic" w:hint="cs"/>
          <w:color w:val="000000"/>
          <w:sz w:val="24"/>
          <w:rtl/>
          <w:lang w:bidi="ar-IQ"/>
        </w:rPr>
        <w:t xml:space="preserve"> . </w:t>
      </w:r>
    </w:p>
  </w:footnote>
  <w:footnote w:id="34">
    <w:p w:rsidR="00AD6A00" w:rsidRPr="003B54E6" w:rsidRDefault="00AD6A00" w:rsidP="00AD6A00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</w:t>
      </w:r>
      <w:r w:rsidRPr="003B54E6">
        <w:rPr>
          <w:snapToGrid w:val="0"/>
          <w:color w:val="000000"/>
          <w:sz w:val="24"/>
          <w:rtl/>
        </w:rPr>
        <w:t>تاريخ بغداد: 5/204 ، ونزهة الألباء : 293 ، و</w:t>
      </w:r>
      <w:r w:rsidRPr="003B54E6">
        <w:rPr>
          <w:sz w:val="24"/>
          <w:rtl/>
        </w:rPr>
        <w:t xml:space="preserve"> إِنْباه الرُّوَاة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: 1/ 138 ، ووفيات الأعيان : 1/30 ،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وتذكرة الحفاظ : 2/ 214 ، وبغية الوعاة : 172، و</w:t>
      </w:r>
      <w:r w:rsidRPr="003B54E6">
        <w:rPr>
          <w:sz w:val="24"/>
          <w:rtl/>
        </w:rPr>
        <w:t>كشف الظنون : 1/164 .</w:t>
      </w:r>
    </w:p>
  </w:footnote>
  <w:footnote w:id="35">
    <w:p w:rsidR="00AB019A" w:rsidRPr="003B54E6" w:rsidRDefault="00AB019A" w:rsidP="00AB019A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</w:t>
      </w:r>
      <w:r w:rsidRPr="003B54E6">
        <w:rPr>
          <w:snapToGrid w:val="0"/>
          <w:color w:val="000000"/>
          <w:sz w:val="24"/>
          <w:rtl/>
        </w:rPr>
        <w:t xml:space="preserve">تاريخ بغداد: </w:t>
      </w:r>
      <w:r w:rsidRPr="003B54E6">
        <w:rPr>
          <w:rFonts w:hint="cs"/>
          <w:snapToGrid w:val="0"/>
          <w:color w:val="000000"/>
          <w:sz w:val="24"/>
          <w:rtl/>
        </w:rPr>
        <w:t>2/401 .</w:t>
      </w:r>
    </w:p>
  </w:footnote>
  <w:footnote w:id="36">
    <w:p w:rsidR="00C25481" w:rsidRPr="003B54E6" w:rsidRDefault="00C25481" w:rsidP="00B03B22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213C6C" w:rsidRPr="003B54E6">
        <w:rPr>
          <w:snapToGrid w:val="0"/>
          <w:color w:val="000000"/>
          <w:sz w:val="24"/>
          <w:rtl/>
        </w:rPr>
        <w:t>تذكرة الحفاظ :</w:t>
      </w:r>
      <w:r w:rsidR="00213C6C" w:rsidRPr="003B54E6">
        <w:rPr>
          <w:rFonts w:hint="cs"/>
          <w:sz w:val="24"/>
          <w:rtl/>
        </w:rPr>
        <w:t xml:space="preserve"> 1/158 .</w:t>
      </w:r>
    </w:p>
  </w:footnote>
  <w:footnote w:id="37">
    <w:p w:rsidR="00B03B22" w:rsidRPr="003B54E6" w:rsidRDefault="00B03B22" w:rsidP="001351AD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213C6C" w:rsidRPr="003B54E6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="00213C6C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213C6C" w:rsidRPr="003B54E6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="00213C6C" w:rsidRPr="003B54E6">
        <w:rPr>
          <w:rFonts w:ascii="Simplified Arabic"/>
          <w:color w:val="000000"/>
          <w:sz w:val="24"/>
          <w:rtl/>
          <w:lang w:bidi="ar-IQ"/>
        </w:rPr>
        <w:t xml:space="preserve"> : 3/375</w:t>
      </w:r>
      <w:r w:rsidR="00213C6C" w:rsidRPr="003B54E6">
        <w:rPr>
          <w:rFonts w:ascii="Simplified Arabic" w:hint="cs"/>
          <w:color w:val="000000"/>
          <w:sz w:val="24"/>
          <w:rtl/>
          <w:lang w:bidi="ar-IQ"/>
        </w:rPr>
        <w:t xml:space="preserve"> ، و</w:t>
      </w:r>
      <w:r w:rsidR="00213C6C" w:rsidRPr="003B54E6">
        <w:rPr>
          <w:rFonts w:ascii="Simplified Arabic" w:hint="eastAsia"/>
          <w:color w:val="000000"/>
          <w:sz w:val="24"/>
          <w:rtl/>
          <w:lang w:bidi="ar-IQ"/>
        </w:rPr>
        <w:t>غاية</w:t>
      </w:r>
      <w:r w:rsidR="00213C6C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213C6C" w:rsidRPr="003B54E6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="00213C6C" w:rsidRPr="003B54E6">
        <w:rPr>
          <w:rFonts w:ascii="Simplified Arabic"/>
          <w:color w:val="000000"/>
          <w:sz w:val="24"/>
          <w:rtl/>
          <w:lang w:bidi="ar-IQ"/>
        </w:rPr>
        <w:t xml:space="preserve"> : 2/280</w:t>
      </w:r>
      <w:r w:rsidR="00213C6C"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38">
    <w:p w:rsidR="00B03B22" w:rsidRPr="003B54E6" w:rsidRDefault="00B03B22" w:rsidP="00F54B8D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4C318D" w:rsidRPr="003B54E6">
        <w:rPr>
          <w:sz w:val="24"/>
          <w:rtl/>
        </w:rPr>
        <w:t>معرفة القراء الكبار : 1/</w:t>
      </w:r>
      <w:r w:rsidR="00F54B8D" w:rsidRPr="003B54E6">
        <w:rPr>
          <w:rFonts w:hint="cs"/>
          <w:sz w:val="24"/>
          <w:rtl/>
        </w:rPr>
        <w:t xml:space="preserve">223 ـ </w:t>
      </w:r>
      <w:r w:rsidR="004C318D" w:rsidRPr="003B54E6">
        <w:rPr>
          <w:sz w:val="24"/>
          <w:rtl/>
        </w:rPr>
        <w:t>224.</w:t>
      </w:r>
      <w:r w:rsidR="00F54B8D" w:rsidRPr="003B54E6">
        <w:rPr>
          <w:sz w:val="24"/>
          <w:rtl/>
        </w:rPr>
        <w:t xml:space="preserve"> </w:t>
      </w:r>
    </w:p>
  </w:footnote>
  <w:footnote w:id="39">
    <w:p w:rsidR="00D45D6B" w:rsidRPr="003B54E6" w:rsidRDefault="00D45D6B" w:rsidP="00D45D6B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>الفِهْرِسْت</w:t>
      </w:r>
      <w:r w:rsidRPr="003B54E6">
        <w:rPr>
          <w:rFonts w:hint="cs"/>
          <w:sz w:val="24"/>
          <w:rtl/>
        </w:rPr>
        <w:t xml:space="preserve"> : 56 ، و</w:t>
      </w:r>
      <w:r w:rsidRPr="003B54E6">
        <w:rPr>
          <w:sz w:val="24"/>
          <w:rtl/>
        </w:rPr>
        <w:t xml:space="preserve">الوافي </w:t>
      </w:r>
      <w:r w:rsidRPr="003B54E6">
        <w:rPr>
          <w:rFonts w:hint="cs"/>
          <w:sz w:val="24"/>
          <w:rtl/>
        </w:rPr>
        <w:t xml:space="preserve"> بالوفيات </w:t>
      </w:r>
      <w:r w:rsidRPr="003B54E6">
        <w:rPr>
          <w:sz w:val="24"/>
          <w:rtl/>
        </w:rPr>
        <w:t xml:space="preserve">: </w:t>
      </w:r>
      <w:r w:rsidRPr="003B54E6">
        <w:rPr>
          <w:rFonts w:hint="cs"/>
          <w:sz w:val="24"/>
          <w:rtl/>
        </w:rPr>
        <w:t xml:space="preserve">4/ </w:t>
      </w:r>
      <w:r w:rsidRPr="003B54E6">
        <w:rPr>
          <w:sz w:val="24"/>
          <w:rtl/>
        </w:rPr>
        <w:t xml:space="preserve">294 </w:t>
      </w:r>
      <w:r w:rsidRPr="003B54E6">
        <w:rPr>
          <w:rFonts w:ascii="Simplified Arabic" w:hint="cs"/>
          <w:sz w:val="24"/>
          <w:rtl/>
          <w:lang w:bidi="ar-IQ"/>
        </w:rPr>
        <w:t>، وغاية النهاية : 2/223 ـ 224  ، و</w:t>
      </w:r>
      <w:r w:rsidRPr="003B54E6">
        <w:rPr>
          <w:sz w:val="24"/>
          <w:rtl/>
        </w:rPr>
        <w:t xml:space="preserve">معجم المؤلفين 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>11 / 103</w:t>
      </w:r>
      <w:r w:rsidRPr="003B54E6">
        <w:rPr>
          <w:rFonts w:hint="cs"/>
          <w:sz w:val="24"/>
          <w:rtl/>
        </w:rPr>
        <w:t xml:space="preserve"> .</w:t>
      </w:r>
    </w:p>
  </w:footnote>
  <w:footnote w:id="40">
    <w:p w:rsidR="00D45D6B" w:rsidRPr="003B54E6" w:rsidRDefault="00D45D6B" w:rsidP="00D45D6B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ينظر : معرفة القراء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الكبار : 1 / 207 – 208 .</w:t>
      </w:r>
    </w:p>
  </w:footnote>
  <w:footnote w:id="41">
    <w:p w:rsidR="007E3E72" w:rsidRPr="003B54E6" w:rsidRDefault="007E3E72" w:rsidP="007E3E72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علوم القرآن الكريم ، للدكتور أحمد نصيف الجنابي ،  دار الحرية ، بغداد ، 1985م : 30 ـ 31 .</w:t>
      </w:r>
    </w:p>
  </w:footnote>
  <w:footnote w:id="42">
    <w:p w:rsidR="00E82636" w:rsidRPr="003B54E6" w:rsidRDefault="00E82636" w:rsidP="00E82636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ينظر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: الفهرست : 78 .</w:t>
      </w:r>
    </w:p>
  </w:footnote>
  <w:footnote w:id="43">
    <w:p w:rsidR="00E82636" w:rsidRPr="003B54E6" w:rsidRDefault="00E82636" w:rsidP="00E82636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ينظر : الفهرست : 82 ، وأخبار النَّحْويين البَصْرِيّين ، لأبي سَعِيد الْحَسَن بن عَبْد اللَّه بن المَرْزُبَان السِّيْرَافي ، ( ت 368هـ ) ، اعتنى بنشره وتَهْذِيبه : فريتس كرنكو ، نشرات معهد المباحث الشرقية بالجزائر ، خزانة الكتب العَرَبِيّة ، المطبعة الكاثوليكية بَيْرُوْت ، 1936م : 58 .</w:t>
      </w:r>
    </w:p>
  </w:footnote>
  <w:footnote w:id="44">
    <w:p w:rsidR="003D0C5C" w:rsidRPr="003B54E6" w:rsidRDefault="003D0C5C" w:rsidP="003D0C5C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: 77- 88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طبقات المفسرين : 1/191-192 .</w:t>
      </w:r>
    </w:p>
  </w:footnote>
  <w:footnote w:id="45">
    <w:p w:rsidR="003D0C5C" w:rsidRPr="003B54E6" w:rsidRDefault="003D0C5C" w:rsidP="003D0C5C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ت</w:t>
      </w:r>
      <w:r w:rsidRPr="003B54E6">
        <w:rPr>
          <w:sz w:val="24"/>
          <w:rtl/>
        </w:rPr>
        <w:t xml:space="preserve">هذيب التهذيب : 4/226 </w:t>
      </w:r>
      <w:r w:rsidRPr="003B54E6">
        <w:rPr>
          <w:rFonts w:hint="cs"/>
          <w:sz w:val="24"/>
          <w:rtl/>
        </w:rPr>
        <w:t>، و</w:t>
      </w:r>
      <w:r w:rsidRPr="003B54E6">
        <w:rPr>
          <w:sz w:val="24"/>
          <w:rtl/>
        </w:rPr>
        <w:t>هدية العارفين : 1/ 411 .</w:t>
      </w:r>
    </w:p>
  </w:footnote>
  <w:footnote w:id="46">
    <w:p w:rsidR="005E10F7" w:rsidRPr="003B54E6" w:rsidRDefault="005E10F7" w:rsidP="00E96C7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E96C71" w:rsidRPr="003B54E6">
        <w:rPr>
          <w:sz w:val="24"/>
          <w:rtl/>
        </w:rPr>
        <w:t xml:space="preserve">الفهرست </w:t>
      </w:r>
      <w:r w:rsidR="00E96C71" w:rsidRPr="003B54E6">
        <w:rPr>
          <w:rFonts w:hint="cs"/>
          <w:sz w:val="24"/>
          <w:rtl/>
        </w:rPr>
        <w:t>:</w:t>
      </w:r>
      <w:r w:rsidR="00E96C71" w:rsidRPr="003B54E6">
        <w:rPr>
          <w:sz w:val="24"/>
          <w:rtl/>
        </w:rPr>
        <w:t xml:space="preserve"> 39</w:t>
      </w:r>
      <w:r w:rsidR="00E96C71" w:rsidRPr="003B54E6">
        <w:rPr>
          <w:rFonts w:hint="cs"/>
          <w:sz w:val="24"/>
          <w:rtl/>
        </w:rPr>
        <w:t xml:space="preserve"> ، و</w:t>
      </w:r>
      <w:r w:rsidR="00E96C71" w:rsidRPr="003B54E6">
        <w:rPr>
          <w:sz w:val="24"/>
          <w:rtl/>
        </w:rPr>
        <w:t xml:space="preserve"> معرفة القراء الكبار </w:t>
      </w:r>
      <w:r w:rsidR="00E96C71" w:rsidRPr="003B54E6">
        <w:rPr>
          <w:rFonts w:hint="cs"/>
          <w:sz w:val="24"/>
          <w:rtl/>
        </w:rPr>
        <w:t xml:space="preserve">: </w:t>
      </w:r>
      <w:r w:rsidR="00E96C71" w:rsidRPr="003B54E6">
        <w:rPr>
          <w:sz w:val="24"/>
          <w:rtl/>
        </w:rPr>
        <w:t>1/ 214</w:t>
      </w:r>
      <w:r w:rsidR="00E96C71" w:rsidRPr="003B54E6">
        <w:rPr>
          <w:rFonts w:hint="cs"/>
          <w:sz w:val="24"/>
          <w:rtl/>
        </w:rPr>
        <w:t xml:space="preserve"> .</w:t>
      </w:r>
    </w:p>
  </w:footnote>
  <w:footnote w:id="47">
    <w:p w:rsidR="009C0158" w:rsidRPr="003B54E6" w:rsidRDefault="009C0158" w:rsidP="009C0158">
      <w:pPr>
        <w:pStyle w:val="FootnoteText"/>
        <w:ind w:left="663" w:right="-57" w:hanging="720"/>
        <w:jc w:val="mediumKashida"/>
        <w:rPr>
          <w:snapToGrid w:val="0"/>
          <w:color w:val="000000"/>
          <w:sz w:val="24"/>
          <w:rtl/>
        </w:rPr>
      </w:pPr>
      <w:r w:rsidRPr="003B54E6">
        <w:rPr>
          <w:snapToGrid w:val="0"/>
          <w:color w:val="000000"/>
          <w:sz w:val="24"/>
          <w:rtl/>
        </w:rPr>
        <w:t xml:space="preserve">( </w:t>
      </w:r>
      <w:r w:rsidRPr="003B54E6">
        <w:rPr>
          <w:snapToGrid w:val="0"/>
          <w:color w:val="000000"/>
          <w:sz w:val="24"/>
          <w:rtl/>
        </w:rPr>
        <w:footnoteRef/>
      </w:r>
      <w:r w:rsidRPr="003B54E6">
        <w:rPr>
          <w:snapToGrid w:val="0"/>
          <w:color w:val="000000"/>
          <w:sz w:val="24"/>
          <w:rtl/>
        </w:rPr>
        <w:t xml:space="preserve"> ) </w:t>
      </w:r>
      <w:r w:rsidRPr="003B54E6">
        <w:rPr>
          <w:snapToGrid w:val="0"/>
          <w:color w:val="000000"/>
          <w:sz w:val="24"/>
          <w:rtl/>
        </w:rPr>
        <w:tab/>
      </w:r>
      <w:r w:rsidRPr="003B54E6">
        <w:rPr>
          <w:rFonts w:hint="cs"/>
          <w:snapToGrid w:val="0"/>
          <w:color w:val="000000"/>
          <w:sz w:val="24"/>
          <w:rtl/>
        </w:rPr>
        <w:t xml:space="preserve">يُنْظَرُ : </w:t>
      </w:r>
      <w:r w:rsidRPr="003B54E6">
        <w:rPr>
          <w:snapToGrid w:val="0"/>
          <w:color w:val="000000"/>
          <w:sz w:val="24"/>
          <w:rtl/>
        </w:rPr>
        <w:t>تذكرة الحفاظ :</w:t>
      </w:r>
      <w:r w:rsidRPr="003B54E6">
        <w:rPr>
          <w:rFonts w:hint="cs"/>
          <w:snapToGrid w:val="0"/>
          <w:color w:val="000000"/>
          <w:sz w:val="24"/>
          <w:rtl/>
        </w:rPr>
        <w:t xml:space="preserve"> 1/158 ، ومعرفة القراء الكبار : 2/ 449 .</w:t>
      </w:r>
    </w:p>
  </w:footnote>
  <w:footnote w:id="48">
    <w:p w:rsidR="00420EDC" w:rsidRPr="003B54E6" w:rsidRDefault="00420EDC" w:rsidP="00420EDC">
      <w:pPr>
        <w:pStyle w:val="FootnoteText"/>
        <w:ind w:left="663" w:right="-57" w:hanging="720"/>
        <w:jc w:val="mediumKashida"/>
        <w:rPr>
          <w:snapToGrid w:val="0"/>
          <w:color w:val="000000"/>
          <w:sz w:val="24"/>
          <w:rtl/>
        </w:rPr>
      </w:pPr>
      <w:r w:rsidRPr="003B54E6">
        <w:rPr>
          <w:snapToGrid w:val="0"/>
          <w:color w:val="000000"/>
          <w:sz w:val="24"/>
          <w:rtl/>
        </w:rPr>
        <w:t xml:space="preserve">( </w:t>
      </w:r>
      <w:r w:rsidRPr="003B54E6">
        <w:rPr>
          <w:snapToGrid w:val="0"/>
          <w:color w:val="000000"/>
          <w:sz w:val="24"/>
          <w:rtl/>
        </w:rPr>
        <w:footnoteRef/>
      </w:r>
      <w:r w:rsidRPr="003B54E6">
        <w:rPr>
          <w:snapToGrid w:val="0"/>
          <w:color w:val="000000"/>
          <w:sz w:val="24"/>
          <w:rtl/>
        </w:rPr>
        <w:t xml:space="preserve"> ) </w:t>
      </w:r>
      <w:r w:rsidRPr="003B54E6">
        <w:rPr>
          <w:snapToGrid w:val="0"/>
          <w:color w:val="000000"/>
          <w:sz w:val="24"/>
          <w:rtl/>
        </w:rPr>
        <w:tab/>
      </w:r>
      <w:r w:rsidRPr="003B54E6">
        <w:rPr>
          <w:rFonts w:hint="cs"/>
          <w:snapToGrid w:val="0"/>
          <w:color w:val="000000"/>
          <w:sz w:val="24"/>
          <w:rtl/>
        </w:rPr>
        <w:t>يُنْظَرُ : معرفة القراء الكبار : 1/151 .</w:t>
      </w:r>
    </w:p>
  </w:footnote>
  <w:footnote w:id="49">
    <w:p w:rsidR="009C0158" w:rsidRPr="003B54E6" w:rsidRDefault="009C0158" w:rsidP="009C0158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napToGrid w:val="0"/>
          <w:color w:val="000000"/>
          <w:sz w:val="24"/>
          <w:rtl/>
        </w:rPr>
        <w:t xml:space="preserve">( </w:t>
      </w:r>
      <w:r w:rsidRPr="003B54E6">
        <w:rPr>
          <w:snapToGrid w:val="0"/>
          <w:color w:val="000000"/>
          <w:sz w:val="24"/>
          <w:rtl/>
        </w:rPr>
        <w:footnoteRef/>
      </w:r>
      <w:r w:rsidRPr="003B54E6">
        <w:rPr>
          <w:snapToGrid w:val="0"/>
          <w:color w:val="000000"/>
          <w:sz w:val="24"/>
          <w:rtl/>
        </w:rPr>
        <w:t xml:space="preserve"> ) </w:t>
      </w:r>
      <w:r w:rsidRPr="003B54E6">
        <w:rPr>
          <w:snapToGrid w:val="0"/>
          <w:color w:val="000000"/>
          <w:sz w:val="24"/>
          <w:rtl/>
        </w:rPr>
        <w:tab/>
      </w:r>
      <w:r w:rsidRPr="003B54E6">
        <w:rPr>
          <w:rFonts w:hint="cs"/>
          <w:snapToGrid w:val="0"/>
          <w:color w:val="000000"/>
          <w:sz w:val="24"/>
          <w:rtl/>
        </w:rPr>
        <w:t xml:space="preserve">يُنْظَرُ : </w:t>
      </w:r>
      <w:r w:rsidRPr="003B54E6">
        <w:rPr>
          <w:rFonts w:hint="eastAsia"/>
          <w:snapToGrid w:val="0"/>
          <w:color w:val="000000"/>
          <w:sz w:val="24"/>
          <w:rtl/>
        </w:rPr>
        <w:t>مراتب</w:t>
      </w:r>
      <w:r w:rsidRPr="003B54E6">
        <w:rPr>
          <w:snapToGrid w:val="0"/>
          <w:color w:val="000000"/>
          <w:sz w:val="24"/>
          <w:rtl/>
        </w:rPr>
        <w:t xml:space="preserve"> </w:t>
      </w:r>
      <w:r w:rsidRPr="003B54E6">
        <w:rPr>
          <w:rFonts w:hint="eastAsia"/>
          <w:snapToGrid w:val="0"/>
          <w:color w:val="000000"/>
          <w:sz w:val="24"/>
          <w:rtl/>
        </w:rPr>
        <w:t>النحويين</w:t>
      </w:r>
      <w:r w:rsidRPr="003B54E6">
        <w:rPr>
          <w:snapToGrid w:val="0"/>
          <w:color w:val="000000"/>
          <w:sz w:val="24"/>
          <w:rtl/>
        </w:rPr>
        <w:t xml:space="preserve"> </w:t>
      </w:r>
      <w:r w:rsidRPr="003B54E6">
        <w:rPr>
          <w:rFonts w:hint="cs"/>
          <w:snapToGrid w:val="0"/>
          <w:color w:val="000000"/>
          <w:sz w:val="24"/>
          <w:rtl/>
        </w:rPr>
        <w:t xml:space="preserve">: </w:t>
      </w:r>
      <w:r w:rsidRPr="003B54E6">
        <w:rPr>
          <w:snapToGrid w:val="0"/>
          <w:color w:val="000000"/>
          <w:sz w:val="24"/>
          <w:rtl/>
        </w:rPr>
        <w:t xml:space="preserve">86 - 89 </w:t>
      </w:r>
      <w:r w:rsidRPr="003B54E6">
        <w:rPr>
          <w:rFonts w:hint="cs"/>
          <w:snapToGrid w:val="0"/>
          <w:color w:val="000000"/>
          <w:sz w:val="24"/>
          <w:rtl/>
        </w:rPr>
        <w:t xml:space="preserve">، والفهرست : </w:t>
      </w:r>
      <w:r w:rsidRPr="003B54E6">
        <w:rPr>
          <w:snapToGrid w:val="0"/>
          <w:color w:val="000000"/>
          <w:sz w:val="24"/>
          <w:rtl/>
        </w:rPr>
        <w:t xml:space="preserve">66 - 67 </w:t>
      </w:r>
      <w:r w:rsidRPr="003B54E6">
        <w:rPr>
          <w:rFonts w:hint="cs"/>
          <w:snapToGrid w:val="0"/>
          <w:color w:val="000000"/>
          <w:sz w:val="24"/>
          <w:rtl/>
        </w:rPr>
        <w:t xml:space="preserve">، </w:t>
      </w:r>
      <w:r w:rsidRPr="003B54E6">
        <w:rPr>
          <w:rFonts w:hint="eastAsia"/>
          <w:snapToGrid w:val="0"/>
          <w:color w:val="000000"/>
          <w:sz w:val="24"/>
          <w:rtl/>
        </w:rPr>
        <w:t>ونزهة</w:t>
      </w:r>
      <w:r w:rsidRPr="003B54E6">
        <w:rPr>
          <w:snapToGrid w:val="0"/>
          <w:color w:val="000000"/>
          <w:sz w:val="24"/>
          <w:rtl/>
        </w:rPr>
        <w:t xml:space="preserve"> </w:t>
      </w:r>
      <w:r w:rsidRPr="003B54E6">
        <w:rPr>
          <w:rFonts w:hint="eastAsia"/>
          <w:snapToGrid w:val="0"/>
          <w:color w:val="000000"/>
          <w:sz w:val="24"/>
          <w:rtl/>
        </w:rPr>
        <w:t>الالبا</w:t>
      </w:r>
      <w:r w:rsidRPr="003B54E6">
        <w:rPr>
          <w:rFonts w:hint="cs"/>
          <w:snapToGrid w:val="0"/>
          <w:color w:val="000000"/>
          <w:sz w:val="24"/>
          <w:rtl/>
        </w:rPr>
        <w:t>ء</w:t>
      </w:r>
      <w:r w:rsidRPr="003B54E6">
        <w:rPr>
          <w:snapToGrid w:val="0"/>
          <w:color w:val="000000"/>
          <w:sz w:val="24"/>
          <w:rtl/>
        </w:rPr>
        <w:t xml:space="preserve"> </w:t>
      </w:r>
      <w:r w:rsidRPr="003B54E6">
        <w:rPr>
          <w:rFonts w:hint="cs"/>
          <w:snapToGrid w:val="0"/>
          <w:color w:val="000000"/>
          <w:sz w:val="24"/>
          <w:rtl/>
        </w:rPr>
        <w:t xml:space="preserve">: </w:t>
      </w:r>
      <w:r w:rsidRPr="003B54E6">
        <w:rPr>
          <w:snapToGrid w:val="0"/>
          <w:color w:val="000000"/>
          <w:sz w:val="24"/>
          <w:rtl/>
        </w:rPr>
        <w:t xml:space="preserve">126 </w:t>
      </w:r>
      <w:r w:rsidRPr="003B54E6">
        <w:rPr>
          <w:rFonts w:hint="cs"/>
          <w:snapToGrid w:val="0"/>
          <w:color w:val="000000"/>
          <w:sz w:val="24"/>
          <w:rtl/>
        </w:rPr>
        <w:t>، و</w:t>
      </w:r>
      <w:r w:rsidRPr="003B54E6">
        <w:rPr>
          <w:rFonts w:hint="eastAsia"/>
          <w:snapToGrid w:val="0"/>
          <w:color w:val="000000"/>
          <w:sz w:val="24"/>
          <w:rtl/>
        </w:rPr>
        <w:t>إرشاد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</w:t>
      </w:r>
      <w:r w:rsidRPr="003B54E6">
        <w:rPr>
          <w:rFonts w:hint="cs"/>
          <w:sz w:val="24"/>
          <w:rtl/>
        </w:rPr>
        <w:t>أ</w:t>
      </w:r>
      <w:r w:rsidRPr="003B54E6">
        <w:rPr>
          <w:rFonts w:hint="eastAsia"/>
          <w:sz w:val="24"/>
          <w:rtl/>
        </w:rPr>
        <w:t>ريب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7/ </w:t>
      </w:r>
      <w:r w:rsidRPr="003B54E6">
        <w:rPr>
          <w:sz w:val="24"/>
          <w:rtl/>
        </w:rPr>
        <w:t xml:space="preserve">276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ووفيات</w:t>
      </w:r>
      <w:r w:rsidRPr="003B54E6">
        <w:rPr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>الأعيان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2/ </w:t>
      </w:r>
      <w:r w:rsidRPr="003B54E6">
        <w:rPr>
          <w:sz w:val="24"/>
          <w:rtl/>
        </w:rPr>
        <w:t xml:space="preserve">228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وغاية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النهاية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>2/</w:t>
      </w:r>
      <w:r w:rsidRPr="003B54E6">
        <w:rPr>
          <w:sz w:val="24"/>
          <w:rtl/>
        </w:rPr>
        <w:t xml:space="preserve">371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ومفتاح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السعادة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            1/ </w:t>
      </w:r>
      <w:r w:rsidRPr="003B54E6">
        <w:rPr>
          <w:sz w:val="24"/>
          <w:rtl/>
        </w:rPr>
        <w:t xml:space="preserve">144 </w:t>
      </w:r>
      <w:r w:rsidRPr="003B54E6">
        <w:rPr>
          <w:rFonts w:hint="cs"/>
          <w:sz w:val="24"/>
          <w:rtl/>
        </w:rPr>
        <w:t>.</w:t>
      </w:r>
    </w:p>
  </w:footnote>
  <w:footnote w:id="50">
    <w:p w:rsidR="008049E4" w:rsidRPr="003B54E6" w:rsidRDefault="008049E4" w:rsidP="008049E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 xml:space="preserve">الفهرست : 77- 88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طبقات المفسرين : 1/191-192 .</w:t>
      </w:r>
    </w:p>
  </w:footnote>
  <w:footnote w:id="51">
    <w:p w:rsidR="00C5021D" w:rsidRPr="003B54E6" w:rsidRDefault="00C5021D" w:rsidP="00212AF7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الإِقْنَاع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فِي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>القراءات السبع</w:t>
      </w:r>
      <w:r w:rsidRPr="003B54E6">
        <w:rPr>
          <w:rFonts w:hint="cs"/>
          <w:sz w:val="24"/>
          <w:rtl/>
        </w:rPr>
        <w:t xml:space="preserve"> : 1/</w:t>
      </w:r>
      <w:r w:rsidR="00212AF7" w:rsidRPr="003B54E6">
        <w:rPr>
          <w:rFonts w:hint="cs"/>
          <w:sz w:val="24"/>
          <w:rtl/>
        </w:rPr>
        <w:t>122 .</w:t>
      </w:r>
    </w:p>
  </w:footnote>
  <w:footnote w:id="52">
    <w:p w:rsidR="008049E4" w:rsidRPr="003B54E6" w:rsidRDefault="008049E4" w:rsidP="008049E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>8/</w:t>
      </w:r>
      <w:r w:rsidRPr="003B54E6">
        <w:rPr>
          <w:rFonts w:ascii="Simplified Arabic"/>
          <w:color w:val="000000"/>
          <w:sz w:val="24"/>
          <w:rtl/>
          <w:lang w:bidi="ar-IQ"/>
        </w:rPr>
        <w:t>322</w:t>
      </w:r>
      <w:r w:rsidRPr="003B54E6">
        <w:rPr>
          <w:rFonts w:hint="cs"/>
          <w:sz w:val="24"/>
          <w:rtl/>
        </w:rPr>
        <w:t xml:space="preserve"> ، و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 xml:space="preserve"> غاية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>1/</w:t>
      </w:r>
      <w:r w:rsidRPr="003B54E6">
        <w:rPr>
          <w:rFonts w:ascii="Simplified Arabic"/>
          <w:color w:val="000000"/>
          <w:sz w:val="24"/>
          <w:rtl/>
          <w:lang w:bidi="ar-IQ"/>
        </w:rPr>
        <w:t>273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53">
    <w:p w:rsidR="008049E4" w:rsidRPr="003B54E6" w:rsidRDefault="008049E4" w:rsidP="008049E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تاريخ بغداد : 5/34 ، و إنباه الرواة : 3/140. </w:t>
      </w:r>
    </w:p>
  </w:footnote>
  <w:footnote w:id="54">
    <w:p w:rsidR="008D2CFB" w:rsidRPr="003B54E6" w:rsidRDefault="008D2CFB" w:rsidP="008D2CFB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تاريخ بغداد : 2/276 ، و</w:t>
      </w:r>
      <w:r w:rsidRPr="003B54E6">
        <w:rPr>
          <w:sz w:val="24"/>
          <w:rtl/>
        </w:rPr>
        <w:t xml:space="preserve"> سير أعلام النبلاء10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>/ 676</w:t>
      </w:r>
      <w:r w:rsidRPr="003B54E6">
        <w:rPr>
          <w:rFonts w:hint="cs"/>
          <w:sz w:val="24"/>
          <w:rtl/>
        </w:rPr>
        <w:t xml:space="preserve"> .</w:t>
      </w:r>
    </w:p>
  </w:footnote>
  <w:footnote w:id="55">
    <w:p w:rsidR="00867A26" w:rsidRPr="003B54E6" w:rsidRDefault="00867A26" w:rsidP="00D6116E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الفِهْرِسْت : 74 ، و</w:t>
      </w:r>
      <w:r w:rsidRPr="003B54E6">
        <w:rPr>
          <w:sz w:val="24"/>
          <w:rtl/>
        </w:rPr>
        <w:t>المحكم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فِي</w:t>
      </w:r>
      <w:r w:rsidRPr="003B54E6">
        <w:rPr>
          <w:rFonts w:hint="cs"/>
          <w:sz w:val="24"/>
          <w:rtl/>
        </w:rPr>
        <w:t xml:space="preserve"> </w:t>
      </w:r>
      <w:r w:rsidRPr="003B54E6">
        <w:rPr>
          <w:sz w:val="24"/>
          <w:rtl/>
        </w:rPr>
        <w:t>نقط المصاحف</w:t>
      </w:r>
      <w:r w:rsidRPr="003B54E6">
        <w:rPr>
          <w:rFonts w:hint="cs"/>
          <w:sz w:val="24"/>
          <w:rtl/>
        </w:rPr>
        <w:t xml:space="preserve"> : 9 ، ومعرفة القراء الكبار : 1/101 ، </w:t>
      </w:r>
      <w:r w:rsidR="00D6116E" w:rsidRPr="003B54E6">
        <w:rPr>
          <w:rFonts w:hint="cs"/>
          <w:sz w:val="24"/>
          <w:rtl/>
        </w:rPr>
        <w:t>و</w:t>
      </w:r>
      <w:r w:rsidR="00D6116E" w:rsidRPr="003B54E6">
        <w:rPr>
          <w:sz w:val="24"/>
          <w:rtl/>
        </w:rPr>
        <w:t xml:space="preserve">غاية النهاية </w:t>
      </w:r>
      <w:r w:rsidR="00D6116E" w:rsidRPr="003B54E6">
        <w:rPr>
          <w:rFonts w:hint="cs"/>
          <w:sz w:val="24"/>
          <w:rtl/>
        </w:rPr>
        <w:t xml:space="preserve">: </w:t>
      </w:r>
      <w:r w:rsidR="00D6116E" w:rsidRPr="003B54E6">
        <w:rPr>
          <w:sz w:val="24"/>
          <w:rtl/>
        </w:rPr>
        <w:t>1/ 463</w:t>
      </w:r>
      <w:r w:rsidR="00D6116E" w:rsidRPr="003B54E6">
        <w:rPr>
          <w:rFonts w:hint="cs"/>
          <w:sz w:val="24"/>
          <w:rtl/>
        </w:rPr>
        <w:t xml:space="preserve">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كَشْف الظُّنُونُ</w:t>
      </w:r>
      <w:r w:rsidRPr="003B54E6">
        <w:rPr>
          <w:rFonts w:hint="cs"/>
          <w:sz w:val="24"/>
          <w:rtl/>
        </w:rPr>
        <w:t xml:space="preserve"> : 2/1980 ، ومناهل العرفان : 1/321 .</w:t>
      </w:r>
    </w:p>
  </w:footnote>
  <w:footnote w:id="56">
    <w:p w:rsidR="00B245A6" w:rsidRPr="003B54E6" w:rsidRDefault="00B245A6" w:rsidP="00032A19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>ينظر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 xml:space="preserve">: </w:t>
      </w:r>
      <w:r w:rsidR="00032A19" w:rsidRPr="003B54E6">
        <w:rPr>
          <w:sz w:val="24"/>
          <w:rtl/>
        </w:rPr>
        <w:t xml:space="preserve">الفهرست </w:t>
      </w:r>
      <w:r w:rsidR="00032A19" w:rsidRPr="003B54E6">
        <w:rPr>
          <w:rFonts w:hint="cs"/>
          <w:sz w:val="24"/>
          <w:rtl/>
        </w:rPr>
        <w:t>:</w:t>
      </w:r>
      <w:r w:rsidR="00032A19" w:rsidRPr="003B54E6">
        <w:rPr>
          <w:sz w:val="24"/>
          <w:rtl/>
        </w:rPr>
        <w:t xml:space="preserve"> 38</w:t>
      </w:r>
      <w:r w:rsidR="00032A19" w:rsidRPr="003B54E6">
        <w:rPr>
          <w:rFonts w:hint="cs"/>
          <w:sz w:val="24"/>
          <w:rtl/>
        </w:rPr>
        <w:t xml:space="preserve"> ، و</w:t>
      </w:r>
      <w:r w:rsidRPr="003B54E6">
        <w:rPr>
          <w:sz w:val="24"/>
          <w:rtl/>
        </w:rPr>
        <w:t>معرفة القراء الكبار :</w:t>
      </w:r>
      <w:r w:rsidRPr="003B54E6">
        <w:rPr>
          <w:sz w:val="24"/>
        </w:rPr>
        <w:t xml:space="preserve"> </w:t>
      </w:r>
      <w:r w:rsidRPr="003B54E6">
        <w:rPr>
          <w:sz w:val="24"/>
          <w:rtl/>
        </w:rPr>
        <w:t xml:space="preserve">1/191-192. </w:t>
      </w:r>
    </w:p>
  </w:footnote>
  <w:footnote w:id="57">
    <w:p w:rsidR="005206D1" w:rsidRPr="003B54E6" w:rsidRDefault="005206D1" w:rsidP="005206D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ت</w:t>
      </w:r>
      <w:r w:rsidRPr="003B54E6">
        <w:rPr>
          <w:sz w:val="24"/>
          <w:rtl/>
        </w:rPr>
        <w:t xml:space="preserve">هذيب التهذيب : 4/226 </w:t>
      </w:r>
      <w:r w:rsidRPr="003B54E6">
        <w:rPr>
          <w:rFonts w:hint="cs"/>
          <w:sz w:val="24"/>
          <w:rtl/>
        </w:rPr>
        <w:t>، و</w:t>
      </w:r>
      <w:r w:rsidRPr="003B54E6">
        <w:rPr>
          <w:sz w:val="24"/>
          <w:rtl/>
        </w:rPr>
        <w:t>هدية العارفين : 1/ 411 .</w:t>
      </w:r>
    </w:p>
  </w:footnote>
  <w:footnote w:id="58">
    <w:p w:rsidR="00494790" w:rsidRPr="003B54E6" w:rsidRDefault="00494790" w:rsidP="00493CD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sz w:val="24"/>
          <w:rtl/>
        </w:rPr>
        <w:t>سير أعلام النبلاء</w:t>
      </w:r>
      <w:r w:rsidR="00493CD1" w:rsidRPr="003B54E6">
        <w:rPr>
          <w:rFonts w:hint="cs"/>
          <w:sz w:val="24"/>
          <w:rtl/>
        </w:rPr>
        <w:t xml:space="preserve"> : </w:t>
      </w:r>
      <w:r w:rsidRPr="003B54E6">
        <w:rPr>
          <w:sz w:val="24"/>
          <w:rtl/>
        </w:rPr>
        <w:t>13</w:t>
      </w:r>
      <w:r w:rsidR="00493CD1" w:rsidRPr="003B54E6">
        <w:rPr>
          <w:rFonts w:hint="cs"/>
          <w:sz w:val="24"/>
          <w:rtl/>
        </w:rPr>
        <w:t xml:space="preserve"> /</w:t>
      </w:r>
      <w:r w:rsidRPr="003B54E6">
        <w:rPr>
          <w:sz w:val="24"/>
          <w:rtl/>
        </w:rPr>
        <w:t xml:space="preserve"> 397- 404</w:t>
      </w:r>
      <w:r w:rsidRPr="003B54E6">
        <w:rPr>
          <w:rFonts w:hint="cs"/>
          <w:sz w:val="24"/>
          <w:rtl/>
        </w:rPr>
        <w:t xml:space="preserve"> ،</w:t>
      </w:r>
      <w:r w:rsidRPr="003B54E6">
        <w:rPr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 xml:space="preserve">تقريب التهذيب : 1/530. </w:t>
      </w:r>
    </w:p>
  </w:footnote>
  <w:footnote w:id="59">
    <w:p w:rsidR="005E1C8F" w:rsidRPr="003B54E6" w:rsidRDefault="005E1C8F" w:rsidP="006023AF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منار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الهدى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في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بيان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الوقف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والابتداء</w:t>
      </w:r>
      <w:r w:rsidR="006023AF" w:rsidRPr="003B54E6">
        <w:rPr>
          <w:rFonts w:asciiTheme="minorHAnsi" w:eastAsiaTheme="minorEastAsia" w:hint="cs"/>
          <w:sz w:val="24"/>
          <w:rtl/>
        </w:rPr>
        <w:t xml:space="preserve"> ،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احمد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محمد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عبد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الكريم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محمد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احمد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عبد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الكريم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الاشموني</w:t>
      </w:r>
      <w:r w:rsidR="006023AF" w:rsidRPr="003B54E6">
        <w:rPr>
          <w:rFonts w:asciiTheme="minorHAnsi" w:eastAsiaTheme="minorEastAsia" w:hint="cs"/>
          <w:sz w:val="24"/>
          <w:rtl/>
        </w:rPr>
        <w:t xml:space="preserve"> ، </w:t>
      </w:r>
      <w:r w:rsidR="006023AF" w:rsidRPr="003B54E6">
        <w:rPr>
          <w:rFonts w:asciiTheme="minorHAnsi" w:eastAsiaTheme="minorEastAsia" w:hAnsiTheme="minorHAnsi"/>
          <w:sz w:val="24"/>
          <w:rtl/>
        </w:rPr>
        <w:t>(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توفي في القرن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الحادي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عشر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الهجري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) </w:t>
      </w:r>
      <w:r w:rsidR="006023AF" w:rsidRPr="003B54E6">
        <w:rPr>
          <w:rFonts w:asciiTheme="minorHAnsi" w:eastAsiaTheme="minorEastAsia" w:hint="cs"/>
          <w:sz w:val="24"/>
          <w:rtl/>
        </w:rPr>
        <w:t xml:space="preserve">،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تصحيح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الشيخ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ابراهيم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الدسوقي</w:t>
      </w:r>
      <w:r w:rsidR="006023AF" w:rsidRPr="003B54E6">
        <w:rPr>
          <w:rFonts w:asciiTheme="minorHAnsi" w:eastAsiaTheme="minorEastAsia" w:hint="cs"/>
          <w:sz w:val="24"/>
          <w:rtl/>
        </w:rPr>
        <w:t xml:space="preserve"> ، </w:t>
      </w:r>
      <w:r w:rsidR="006023AF" w:rsidRPr="003B54E6">
        <w:rPr>
          <w:rFonts w:asciiTheme="minorHAnsi" w:eastAsiaTheme="minorEastAsia" w:hAnsiTheme="minorHAnsi" w:hint="cs"/>
          <w:sz w:val="24"/>
          <w:rtl/>
        </w:rPr>
        <w:t>بولاق</w:t>
      </w:r>
      <w:r w:rsidR="006023AF" w:rsidRPr="003B54E6">
        <w:rPr>
          <w:rFonts w:asciiTheme="minorHAnsi" w:eastAsiaTheme="minorEastAsia" w:hAnsiTheme="minorHAnsi"/>
          <w:sz w:val="24"/>
          <w:rtl/>
        </w:rPr>
        <w:t xml:space="preserve"> </w:t>
      </w:r>
      <w:r w:rsidR="006023AF" w:rsidRPr="003B54E6">
        <w:rPr>
          <w:rFonts w:asciiTheme="minorHAnsi" w:eastAsiaTheme="minorEastAsia" w:hint="cs"/>
          <w:sz w:val="24"/>
          <w:rtl/>
        </w:rPr>
        <w:t xml:space="preserve">، مصر ، </w:t>
      </w:r>
      <w:r w:rsidR="006023AF" w:rsidRPr="003B54E6">
        <w:rPr>
          <w:rFonts w:asciiTheme="minorHAnsi" w:eastAsiaTheme="minorEastAsia" w:hAnsiTheme="minorHAnsi"/>
          <w:sz w:val="24"/>
          <w:rtl/>
        </w:rPr>
        <w:t>1286</w:t>
      </w:r>
      <w:r w:rsidR="006023AF" w:rsidRPr="003B54E6">
        <w:rPr>
          <w:rFonts w:asciiTheme="minorHAnsi" w:eastAsiaTheme="minorEastAsia" w:hint="cs"/>
          <w:sz w:val="24"/>
          <w:rtl/>
        </w:rPr>
        <w:t>هـ</w:t>
      </w:r>
      <w:r w:rsidR="006023AF" w:rsidRPr="003B54E6">
        <w:rPr>
          <w:sz w:val="24"/>
          <w:rtl/>
        </w:rPr>
        <w:t xml:space="preserve"> </w:t>
      </w:r>
      <w:r w:rsidR="006023AF" w:rsidRPr="003B54E6">
        <w:rPr>
          <w:rFonts w:hint="cs"/>
          <w:sz w:val="24"/>
          <w:rtl/>
        </w:rPr>
        <w:t>: 6 ، و</w:t>
      </w:r>
      <w:r w:rsidR="00493CD1" w:rsidRPr="003B54E6">
        <w:rPr>
          <w:sz w:val="24"/>
          <w:rtl/>
        </w:rPr>
        <w:t xml:space="preserve">طبقات المفسرين للداوودي </w:t>
      </w:r>
      <w:r w:rsidR="00493CD1" w:rsidRPr="003B54E6">
        <w:rPr>
          <w:rFonts w:hint="cs"/>
          <w:sz w:val="24"/>
          <w:rtl/>
        </w:rPr>
        <w:t xml:space="preserve">: </w:t>
      </w:r>
      <w:r w:rsidR="00493CD1" w:rsidRPr="003B54E6">
        <w:rPr>
          <w:sz w:val="24"/>
          <w:rtl/>
        </w:rPr>
        <w:t>1/ 42</w:t>
      </w:r>
      <w:r w:rsidR="00493CD1" w:rsidRPr="003B54E6">
        <w:rPr>
          <w:rFonts w:hint="cs"/>
          <w:sz w:val="24"/>
          <w:rtl/>
        </w:rPr>
        <w:t xml:space="preserve"> </w:t>
      </w:r>
      <w:r w:rsidR="006023AF" w:rsidRPr="003B54E6">
        <w:rPr>
          <w:rFonts w:hint="cs"/>
          <w:sz w:val="24"/>
          <w:rtl/>
        </w:rPr>
        <w:t>.</w:t>
      </w:r>
    </w:p>
  </w:footnote>
  <w:footnote w:id="60">
    <w:p w:rsidR="008A2180" w:rsidRPr="003B54E6" w:rsidRDefault="008A2180" w:rsidP="008A2180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="00EF74E1" w:rsidRPr="003B54E6">
        <w:rPr>
          <w:rFonts w:hint="cs"/>
          <w:sz w:val="24"/>
          <w:rtl/>
        </w:rPr>
        <w:t>يُنْظَرُ : الفِهْرِسْت : 38 .</w:t>
      </w:r>
    </w:p>
  </w:footnote>
  <w:footnote w:id="61">
    <w:p w:rsidR="00EF74E1" w:rsidRPr="003B54E6" w:rsidRDefault="00EF74E1" w:rsidP="00EF74E1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</w:t>
      </w:r>
      <w:r w:rsidRPr="003B54E6">
        <w:rPr>
          <w:snapToGrid w:val="0"/>
          <w:color w:val="000000"/>
          <w:sz w:val="24"/>
          <w:rtl/>
        </w:rPr>
        <w:t>تاريخ بغداد: 5/204 ، ونزهة الألباء : 293 ، و</w:t>
      </w:r>
      <w:r w:rsidRPr="003B54E6">
        <w:rPr>
          <w:sz w:val="24"/>
          <w:rtl/>
        </w:rPr>
        <w:t xml:space="preserve"> إِنْباه الرُّوَاة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: 1/ 138 ، ووفيات الأعيان : 1/30 ،</w:t>
      </w:r>
      <w:r w:rsidRPr="003B54E6">
        <w:rPr>
          <w:rFonts w:hint="cs"/>
          <w:snapToGrid w:val="0"/>
          <w:color w:val="000000"/>
          <w:sz w:val="24"/>
          <w:rtl/>
        </w:rPr>
        <w:t xml:space="preserve"> </w:t>
      </w:r>
      <w:r w:rsidRPr="003B54E6">
        <w:rPr>
          <w:snapToGrid w:val="0"/>
          <w:color w:val="000000"/>
          <w:sz w:val="24"/>
          <w:rtl/>
        </w:rPr>
        <w:t>وتذكرة الحفاظ : 2/ 214 ، وبغية الوعاة : 172، و</w:t>
      </w:r>
      <w:r w:rsidRPr="003B54E6">
        <w:rPr>
          <w:sz w:val="24"/>
          <w:rtl/>
        </w:rPr>
        <w:t>كشف الظنون : 1/164 .</w:t>
      </w:r>
    </w:p>
  </w:footnote>
  <w:footnote w:id="62">
    <w:p w:rsidR="002A3237" w:rsidRPr="003B54E6" w:rsidRDefault="002A3237" w:rsidP="00CA62A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CA62A4" w:rsidRPr="003B54E6">
        <w:rPr>
          <w:rFonts w:hint="cs"/>
          <w:sz w:val="24"/>
          <w:rtl/>
        </w:rPr>
        <w:t>الفهرست : 39 ، وسِيَر أَعْلام النُّبَلاء : 20/48 .</w:t>
      </w:r>
    </w:p>
  </w:footnote>
  <w:footnote w:id="63">
    <w:p w:rsidR="002A3237" w:rsidRPr="003B54E6" w:rsidRDefault="002A3237" w:rsidP="00CA62A4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CA62A4" w:rsidRPr="003B54E6">
        <w:rPr>
          <w:rFonts w:hint="cs"/>
          <w:sz w:val="24"/>
          <w:rtl/>
        </w:rPr>
        <w:t>الفهرست : 39 ، وهَدِيَّةُ العَارِفِين : 1/46 .</w:t>
      </w:r>
    </w:p>
  </w:footnote>
  <w:footnote w:id="64">
    <w:p w:rsidR="00887DB5" w:rsidRPr="003B54E6" w:rsidRDefault="00887DB5" w:rsidP="00887DB5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>يُنْظَرُ : الفهرست : 39 ، و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>8/</w:t>
      </w:r>
      <w:r w:rsidRPr="003B54E6">
        <w:rPr>
          <w:rFonts w:ascii="Simplified Arabic"/>
          <w:color w:val="000000"/>
          <w:sz w:val="24"/>
          <w:rtl/>
          <w:lang w:bidi="ar-IQ"/>
        </w:rPr>
        <w:t>322</w:t>
      </w:r>
      <w:r w:rsidRPr="003B54E6">
        <w:rPr>
          <w:rFonts w:hint="cs"/>
          <w:sz w:val="24"/>
          <w:rtl/>
        </w:rPr>
        <w:t xml:space="preserve"> ، و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 xml:space="preserve"> غاية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3B54E6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Pr="003B54E6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3B54E6">
        <w:rPr>
          <w:rFonts w:ascii="Simplified Arabic" w:hint="cs"/>
          <w:color w:val="000000"/>
          <w:sz w:val="24"/>
          <w:rtl/>
          <w:lang w:bidi="ar-IQ"/>
        </w:rPr>
        <w:t>1/</w:t>
      </w:r>
      <w:r w:rsidRPr="003B54E6">
        <w:rPr>
          <w:rFonts w:ascii="Simplified Arabic"/>
          <w:color w:val="000000"/>
          <w:sz w:val="24"/>
          <w:rtl/>
          <w:lang w:bidi="ar-IQ"/>
        </w:rPr>
        <w:t>273</w:t>
      </w:r>
      <w:r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65">
    <w:p w:rsidR="002A3237" w:rsidRPr="003B54E6" w:rsidRDefault="002A3237" w:rsidP="003E4C55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CA62A4" w:rsidRPr="003B54E6">
        <w:rPr>
          <w:rFonts w:hint="cs"/>
          <w:sz w:val="24"/>
          <w:rtl/>
        </w:rPr>
        <w:t xml:space="preserve">الفهرست : 39 </w:t>
      </w:r>
      <w:r w:rsidR="003E4C55" w:rsidRPr="003B54E6">
        <w:rPr>
          <w:rFonts w:hint="cs"/>
          <w:sz w:val="24"/>
          <w:rtl/>
        </w:rPr>
        <w:t>، وت</w:t>
      </w:r>
      <w:r w:rsidR="003E4C55" w:rsidRPr="003B54E6">
        <w:rPr>
          <w:rFonts w:ascii="Simplified Arabic" w:hint="eastAsia"/>
          <w:color w:val="000000"/>
          <w:sz w:val="24"/>
          <w:rtl/>
          <w:lang w:bidi="ar-IQ"/>
        </w:rPr>
        <w:t>رتيب</w:t>
      </w:r>
      <w:r w:rsidR="003E4C55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E4C55" w:rsidRPr="003B54E6">
        <w:rPr>
          <w:rFonts w:ascii="Simplified Arabic" w:hint="eastAsia"/>
          <w:color w:val="000000"/>
          <w:sz w:val="24"/>
          <w:rtl/>
          <w:lang w:bidi="ar-IQ"/>
        </w:rPr>
        <w:t>المَدَارِك</w:t>
      </w:r>
      <w:r w:rsidR="003E4C55" w:rsidRPr="003B54E6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="003E4C55" w:rsidRPr="003B54E6">
        <w:rPr>
          <w:rFonts w:ascii="Simplified Arabic"/>
          <w:color w:val="000000"/>
          <w:sz w:val="24"/>
          <w:rtl/>
          <w:lang w:bidi="ar-IQ"/>
        </w:rPr>
        <w:t>: 306</w:t>
      </w:r>
    </w:p>
  </w:footnote>
  <w:footnote w:id="66">
    <w:p w:rsidR="002A3237" w:rsidRPr="003B54E6" w:rsidRDefault="002A3237" w:rsidP="002153F0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CA62A4" w:rsidRPr="003B54E6">
        <w:rPr>
          <w:rFonts w:hint="cs"/>
          <w:sz w:val="24"/>
          <w:rtl/>
        </w:rPr>
        <w:t xml:space="preserve">الفهرست : 39 </w:t>
      </w:r>
      <w:r w:rsidR="002153F0" w:rsidRPr="003B54E6">
        <w:rPr>
          <w:rFonts w:hint="cs"/>
          <w:sz w:val="24"/>
          <w:rtl/>
        </w:rPr>
        <w:t>، و</w:t>
      </w:r>
      <w:r w:rsidR="002153F0" w:rsidRPr="003B54E6">
        <w:rPr>
          <w:sz w:val="24"/>
          <w:rtl/>
        </w:rPr>
        <w:t xml:space="preserve"> وفيات الأعيان : 4/265-267</w:t>
      </w:r>
      <w:r w:rsidR="002153F0" w:rsidRPr="003B54E6">
        <w:rPr>
          <w:rFonts w:hint="cs"/>
          <w:sz w:val="24"/>
          <w:rtl/>
        </w:rPr>
        <w:t xml:space="preserve"> .</w:t>
      </w:r>
    </w:p>
  </w:footnote>
  <w:footnote w:id="67">
    <w:p w:rsidR="00DC663F" w:rsidRPr="003B54E6" w:rsidRDefault="00DC663F" w:rsidP="00DC663F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  <w:t xml:space="preserve">ينظر : طبقات الفقهاء : 75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 xml:space="preserve">تهذيب التهذيب :1 /75 ، </w:t>
      </w:r>
      <w:r w:rsidRPr="003B54E6">
        <w:rPr>
          <w:rFonts w:hint="cs"/>
          <w:sz w:val="24"/>
          <w:rtl/>
        </w:rPr>
        <w:t>و</w:t>
      </w:r>
      <w:r w:rsidRPr="003B54E6">
        <w:rPr>
          <w:sz w:val="24"/>
          <w:rtl/>
        </w:rPr>
        <w:t>البداية والنهاية : 10 /323 .</w:t>
      </w:r>
      <w:r w:rsidR="009F0487" w:rsidRPr="003B54E6">
        <w:rPr>
          <w:sz w:val="24"/>
          <w:rtl/>
        </w:rPr>
        <w:t xml:space="preserve"> الرد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عَلَى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الزنادقة والجهمية ، لأبي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عبدالله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أَحْمَد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بن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حنبل الشَّيْبَانِيّ ، ( ت 241هـ ) ، تحقيق :</w:t>
      </w:r>
      <w:r w:rsidR="009F0487" w:rsidRPr="003B54E6">
        <w:rPr>
          <w:sz w:val="24"/>
        </w:rPr>
        <w:t xml:space="preserve"> </w:t>
      </w:r>
      <w:r w:rsidR="009F0487" w:rsidRPr="003B54E6">
        <w:rPr>
          <w:sz w:val="24"/>
          <w:rtl/>
        </w:rPr>
        <w:t>مُحَمَّد حسن رَاشِد . المطبعة السلفية ، القاهرة ، 1393هـ</w:t>
      </w:r>
      <w:r w:rsidR="009F0487" w:rsidRPr="003B54E6">
        <w:rPr>
          <w:rFonts w:hint="cs"/>
          <w:sz w:val="24"/>
          <w:rtl/>
        </w:rPr>
        <w:t xml:space="preserve"> .</w:t>
      </w:r>
    </w:p>
  </w:footnote>
  <w:footnote w:id="68">
    <w:p w:rsidR="002A3237" w:rsidRPr="003B54E6" w:rsidRDefault="002A3237" w:rsidP="0001724E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rStyle w:val="FootnoteReference"/>
          <w:sz w:val="24"/>
          <w:vertAlign w:val="baseline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="00CA62A4" w:rsidRPr="003B54E6">
        <w:rPr>
          <w:rFonts w:hint="cs"/>
          <w:sz w:val="24"/>
          <w:rtl/>
        </w:rPr>
        <w:t xml:space="preserve">الفهرست : 39 </w:t>
      </w:r>
      <w:r w:rsidR="0001724E" w:rsidRPr="003B54E6">
        <w:rPr>
          <w:rFonts w:hint="cs"/>
          <w:sz w:val="24"/>
          <w:rtl/>
        </w:rPr>
        <w:t>، و</w:t>
      </w:r>
      <w:r w:rsidR="0001724E" w:rsidRPr="003B54E6">
        <w:rPr>
          <w:rFonts w:ascii="Simplified Arabic" w:hint="eastAsia"/>
          <w:color w:val="000000"/>
          <w:sz w:val="24"/>
          <w:rtl/>
          <w:lang w:bidi="ar-IQ"/>
        </w:rPr>
        <w:t xml:space="preserve"> ونزهة</w:t>
      </w:r>
      <w:r w:rsidR="0001724E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01724E" w:rsidRPr="003B54E6">
        <w:rPr>
          <w:rFonts w:ascii="Simplified Arabic" w:hint="eastAsia"/>
          <w:color w:val="000000"/>
          <w:sz w:val="24"/>
          <w:rtl/>
          <w:lang w:bidi="ar-IQ"/>
        </w:rPr>
        <w:t>الالبا</w:t>
      </w:r>
      <w:r w:rsidR="0001724E" w:rsidRPr="003B54E6">
        <w:rPr>
          <w:rFonts w:ascii="Simplified Arabic" w:hint="cs"/>
          <w:color w:val="000000"/>
          <w:sz w:val="24"/>
          <w:rtl/>
          <w:lang w:bidi="ar-IQ"/>
        </w:rPr>
        <w:t>ء</w:t>
      </w:r>
      <w:r w:rsidR="0001724E" w:rsidRPr="003B54E6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01724E" w:rsidRPr="003B54E6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="0001724E" w:rsidRPr="003B54E6">
        <w:rPr>
          <w:rFonts w:ascii="Simplified Arabic"/>
          <w:color w:val="000000"/>
          <w:sz w:val="24"/>
          <w:rtl/>
          <w:lang w:bidi="ar-IQ"/>
        </w:rPr>
        <w:t>223</w:t>
      </w:r>
      <w:r w:rsidR="0001724E" w:rsidRPr="003B54E6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69">
    <w:p w:rsidR="0001724E" w:rsidRPr="003B54E6" w:rsidRDefault="0001724E" w:rsidP="0001724E">
      <w:pPr>
        <w:pStyle w:val="FootnoteText"/>
        <w:ind w:left="663" w:right="-57" w:hanging="720"/>
        <w:jc w:val="mediumKashida"/>
        <w:rPr>
          <w:sz w:val="24"/>
          <w:rtl/>
        </w:rPr>
      </w:pPr>
      <w:r w:rsidRPr="003B54E6">
        <w:rPr>
          <w:sz w:val="24"/>
          <w:rtl/>
        </w:rPr>
        <w:t xml:space="preserve">( </w:t>
      </w:r>
      <w:r w:rsidRPr="003B54E6">
        <w:rPr>
          <w:sz w:val="24"/>
          <w:rtl/>
        </w:rPr>
        <w:footnoteRef/>
      </w:r>
      <w:r w:rsidRPr="003B54E6">
        <w:rPr>
          <w:sz w:val="24"/>
          <w:rtl/>
        </w:rPr>
        <w:t xml:space="preserve"> ) </w:t>
      </w:r>
      <w:r w:rsidRPr="003B54E6">
        <w:rPr>
          <w:sz w:val="24"/>
          <w:rtl/>
        </w:rPr>
        <w:tab/>
      </w:r>
      <w:r w:rsidRPr="003B54E6">
        <w:rPr>
          <w:rFonts w:hint="cs"/>
          <w:sz w:val="24"/>
          <w:rtl/>
        </w:rPr>
        <w:t xml:space="preserve">يُنْظَرُ : </w:t>
      </w:r>
      <w:r w:rsidRPr="003B54E6">
        <w:rPr>
          <w:rFonts w:hint="eastAsia"/>
          <w:sz w:val="24"/>
          <w:rtl/>
        </w:rPr>
        <w:t>مراتب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النحويين</w:t>
      </w:r>
      <w:r w:rsidRPr="003B54E6">
        <w:rPr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 xml:space="preserve">86 - 89 </w:t>
      </w:r>
      <w:r w:rsidRPr="003B54E6">
        <w:rPr>
          <w:rFonts w:hint="cs"/>
          <w:sz w:val="24"/>
          <w:rtl/>
        </w:rPr>
        <w:t xml:space="preserve">، والفهرست : </w:t>
      </w:r>
      <w:r w:rsidRPr="003B54E6">
        <w:rPr>
          <w:sz w:val="24"/>
          <w:rtl/>
        </w:rPr>
        <w:t xml:space="preserve">66 - 67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ونزهة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الالبا</w:t>
      </w:r>
      <w:r w:rsidRPr="003B54E6">
        <w:rPr>
          <w:rFonts w:hint="cs"/>
          <w:sz w:val="24"/>
          <w:rtl/>
        </w:rPr>
        <w:t>ء</w:t>
      </w:r>
      <w:r w:rsidRPr="003B54E6">
        <w:rPr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 xml:space="preserve">: </w:t>
      </w:r>
      <w:r w:rsidRPr="003B54E6">
        <w:rPr>
          <w:sz w:val="24"/>
          <w:rtl/>
        </w:rPr>
        <w:t xml:space="preserve">126 </w:t>
      </w:r>
      <w:r w:rsidRPr="003B54E6">
        <w:rPr>
          <w:rFonts w:hint="cs"/>
          <w:sz w:val="24"/>
          <w:rtl/>
        </w:rPr>
        <w:t>، و</w:t>
      </w:r>
      <w:r w:rsidRPr="003B54E6">
        <w:rPr>
          <w:rFonts w:hint="eastAsia"/>
          <w:sz w:val="24"/>
          <w:rtl/>
        </w:rPr>
        <w:t>إرشاد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</w:t>
      </w:r>
      <w:r w:rsidRPr="003B54E6">
        <w:rPr>
          <w:rFonts w:hint="cs"/>
          <w:sz w:val="24"/>
          <w:rtl/>
        </w:rPr>
        <w:t>أ</w:t>
      </w:r>
      <w:r w:rsidRPr="003B54E6">
        <w:rPr>
          <w:rFonts w:hint="eastAsia"/>
          <w:sz w:val="24"/>
          <w:rtl/>
        </w:rPr>
        <w:t>ريب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7/ </w:t>
      </w:r>
      <w:r w:rsidRPr="003B54E6">
        <w:rPr>
          <w:sz w:val="24"/>
          <w:rtl/>
        </w:rPr>
        <w:t xml:space="preserve">276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ووفيات</w:t>
      </w:r>
      <w:r w:rsidRPr="003B54E6">
        <w:rPr>
          <w:sz w:val="24"/>
          <w:rtl/>
        </w:rPr>
        <w:t xml:space="preserve"> </w:t>
      </w:r>
      <w:r w:rsidRPr="003B54E6">
        <w:rPr>
          <w:rFonts w:hint="cs"/>
          <w:sz w:val="24"/>
          <w:rtl/>
        </w:rPr>
        <w:t>الأعيان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2/ </w:t>
      </w:r>
      <w:r w:rsidRPr="003B54E6">
        <w:rPr>
          <w:sz w:val="24"/>
          <w:rtl/>
        </w:rPr>
        <w:t xml:space="preserve">228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وغاية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النهاية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>2/</w:t>
      </w:r>
      <w:r w:rsidRPr="003B54E6">
        <w:rPr>
          <w:sz w:val="24"/>
          <w:rtl/>
        </w:rPr>
        <w:t xml:space="preserve">371 </w:t>
      </w:r>
      <w:r w:rsidRPr="003B54E6">
        <w:rPr>
          <w:rFonts w:hint="cs"/>
          <w:sz w:val="24"/>
          <w:rtl/>
        </w:rPr>
        <w:t xml:space="preserve">، </w:t>
      </w:r>
      <w:r w:rsidRPr="003B54E6">
        <w:rPr>
          <w:rFonts w:hint="eastAsia"/>
          <w:sz w:val="24"/>
          <w:rtl/>
        </w:rPr>
        <w:t>ومفتاح</w:t>
      </w:r>
      <w:r w:rsidRPr="003B54E6">
        <w:rPr>
          <w:sz w:val="24"/>
          <w:rtl/>
        </w:rPr>
        <w:t xml:space="preserve"> </w:t>
      </w:r>
      <w:r w:rsidRPr="003B54E6">
        <w:rPr>
          <w:rFonts w:hint="eastAsia"/>
          <w:sz w:val="24"/>
          <w:rtl/>
        </w:rPr>
        <w:t>السعادة</w:t>
      </w:r>
      <w:r w:rsidRPr="003B54E6">
        <w:rPr>
          <w:sz w:val="24"/>
          <w:rtl/>
        </w:rPr>
        <w:t xml:space="preserve"> : </w:t>
      </w:r>
      <w:r w:rsidRPr="003B54E6">
        <w:rPr>
          <w:rFonts w:hint="cs"/>
          <w:sz w:val="24"/>
          <w:rtl/>
        </w:rPr>
        <w:t xml:space="preserve">            1/ </w:t>
      </w:r>
      <w:r w:rsidRPr="003B54E6">
        <w:rPr>
          <w:sz w:val="24"/>
          <w:rtl/>
        </w:rPr>
        <w:t xml:space="preserve">144 </w:t>
      </w:r>
      <w:r w:rsidRPr="003B54E6">
        <w:rPr>
          <w:rFonts w:hint="cs"/>
          <w:sz w:val="24"/>
          <w:rtl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74C0E"/>
    <w:multiLevelType w:val="hybridMultilevel"/>
    <w:tmpl w:val="F69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0E042A"/>
    <w:rsid w:val="00001E6E"/>
    <w:rsid w:val="0001379A"/>
    <w:rsid w:val="0001709D"/>
    <w:rsid w:val="0001724E"/>
    <w:rsid w:val="00020BCB"/>
    <w:rsid w:val="00031291"/>
    <w:rsid w:val="00032A19"/>
    <w:rsid w:val="00065598"/>
    <w:rsid w:val="000A4D45"/>
    <w:rsid w:val="000A5BFE"/>
    <w:rsid w:val="000C4A98"/>
    <w:rsid w:val="000C6836"/>
    <w:rsid w:val="000D732D"/>
    <w:rsid w:val="000E042A"/>
    <w:rsid w:val="000E56F3"/>
    <w:rsid w:val="000E6B35"/>
    <w:rsid w:val="0010431C"/>
    <w:rsid w:val="0010592B"/>
    <w:rsid w:val="00121E94"/>
    <w:rsid w:val="001351AD"/>
    <w:rsid w:val="00144B99"/>
    <w:rsid w:val="00147521"/>
    <w:rsid w:val="00170907"/>
    <w:rsid w:val="001A75B9"/>
    <w:rsid w:val="001C40C9"/>
    <w:rsid w:val="001C4BE2"/>
    <w:rsid w:val="001C4DD7"/>
    <w:rsid w:val="001F4B13"/>
    <w:rsid w:val="00202DE6"/>
    <w:rsid w:val="00212AF7"/>
    <w:rsid w:val="00213C6C"/>
    <w:rsid w:val="002153F0"/>
    <w:rsid w:val="00224181"/>
    <w:rsid w:val="00233BE2"/>
    <w:rsid w:val="00241819"/>
    <w:rsid w:val="00242423"/>
    <w:rsid w:val="00242DFB"/>
    <w:rsid w:val="002511B0"/>
    <w:rsid w:val="002545B4"/>
    <w:rsid w:val="00260A60"/>
    <w:rsid w:val="00261593"/>
    <w:rsid w:val="00262200"/>
    <w:rsid w:val="00266389"/>
    <w:rsid w:val="00271464"/>
    <w:rsid w:val="00273C2E"/>
    <w:rsid w:val="002804CB"/>
    <w:rsid w:val="00292616"/>
    <w:rsid w:val="002961FC"/>
    <w:rsid w:val="00297259"/>
    <w:rsid w:val="002A3237"/>
    <w:rsid w:val="002A41FF"/>
    <w:rsid w:val="002B2880"/>
    <w:rsid w:val="002E4D7A"/>
    <w:rsid w:val="00322E22"/>
    <w:rsid w:val="00324129"/>
    <w:rsid w:val="0032442D"/>
    <w:rsid w:val="00332C44"/>
    <w:rsid w:val="00336803"/>
    <w:rsid w:val="003744D3"/>
    <w:rsid w:val="00377C8B"/>
    <w:rsid w:val="003858B5"/>
    <w:rsid w:val="00394B5C"/>
    <w:rsid w:val="003A4063"/>
    <w:rsid w:val="003B3D41"/>
    <w:rsid w:val="003B50B3"/>
    <w:rsid w:val="003B54E6"/>
    <w:rsid w:val="003B56B2"/>
    <w:rsid w:val="003C28BB"/>
    <w:rsid w:val="003D0C5C"/>
    <w:rsid w:val="003D7545"/>
    <w:rsid w:val="003E4C55"/>
    <w:rsid w:val="003F0705"/>
    <w:rsid w:val="0040278D"/>
    <w:rsid w:val="0040342D"/>
    <w:rsid w:val="00420EDC"/>
    <w:rsid w:val="004404E9"/>
    <w:rsid w:val="004416BF"/>
    <w:rsid w:val="00453879"/>
    <w:rsid w:val="004717D4"/>
    <w:rsid w:val="0048389E"/>
    <w:rsid w:val="00484739"/>
    <w:rsid w:val="00493CD1"/>
    <w:rsid w:val="00494790"/>
    <w:rsid w:val="00495DE4"/>
    <w:rsid w:val="004A1CD1"/>
    <w:rsid w:val="004B425A"/>
    <w:rsid w:val="004C318D"/>
    <w:rsid w:val="004D3728"/>
    <w:rsid w:val="004D57DB"/>
    <w:rsid w:val="004D7A00"/>
    <w:rsid w:val="004E4708"/>
    <w:rsid w:val="004F163F"/>
    <w:rsid w:val="004F23A4"/>
    <w:rsid w:val="004F663B"/>
    <w:rsid w:val="005023AE"/>
    <w:rsid w:val="00513050"/>
    <w:rsid w:val="00514B9C"/>
    <w:rsid w:val="00517288"/>
    <w:rsid w:val="0051749D"/>
    <w:rsid w:val="005206D1"/>
    <w:rsid w:val="00522D2B"/>
    <w:rsid w:val="0052411C"/>
    <w:rsid w:val="0053299D"/>
    <w:rsid w:val="0054572A"/>
    <w:rsid w:val="0054622B"/>
    <w:rsid w:val="005666A1"/>
    <w:rsid w:val="00577782"/>
    <w:rsid w:val="005834CD"/>
    <w:rsid w:val="00587040"/>
    <w:rsid w:val="005945D2"/>
    <w:rsid w:val="005B4417"/>
    <w:rsid w:val="005E10F7"/>
    <w:rsid w:val="005E1C8F"/>
    <w:rsid w:val="005F7538"/>
    <w:rsid w:val="0060126D"/>
    <w:rsid w:val="0060193A"/>
    <w:rsid w:val="006023AF"/>
    <w:rsid w:val="00605971"/>
    <w:rsid w:val="006241E2"/>
    <w:rsid w:val="0065454D"/>
    <w:rsid w:val="006762B1"/>
    <w:rsid w:val="006810BC"/>
    <w:rsid w:val="0068171A"/>
    <w:rsid w:val="006B19C4"/>
    <w:rsid w:val="006B5EA7"/>
    <w:rsid w:val="00700BB4"/>
    <w:rsid w:val="00711384"/>
    <w:rsid w:val="00717C35"/>
    <w:rsid w:val="00727041"/>
    <w:rsid w:val="00756C39"/>
    <w:rsid w:val="00775D8A"/>
    <w:rsid w:val="007765CE"/>
    <w:rsid w:val="007925D6"/>
    <w:rsid w:val="007C722C"/>
    <w:rsid w:val="007D393D"/>
    <w:rsid w:val="007E0D3A"/>
    <w:rsid w:val="007E2909"/>
    <w:rsid w:val="007E3E72"/>
    <w:rsid w:val="007F0DB5"/>
    <w:rsid w:val="008049E4"/>
    <w:rsid w:val="00866703"/>
    <w:rsid w:val="00867A26"/>
    <w:rsid w:val="00887DB5"/>
    <w:rsid w:val="008A092C"/>
    <w:rsid w:val="008A2180"/>
    <w:rsid w:val="008A66B2"/>
    <w:rsid w:val="008A7EF5"/>
    <w:rsid w:val="008B737C"/>
    <w:rsid w:val="008C0FCC"/>
    <w:rsid w:val="008C196C"/>
    <w:rsid w:val="008C5DF0"/>
    <w:rsid w:val="008D2CFB"/>
    <w:rsid w:val="008D58BC"/>
    <w:rsid w:val="008F4A37"/>
    <w:rsid w:val="00906D28"/>
    <w:rsid w:val="00907D1D"/>
    <w:rsid w:val="00941FA0"/>
    <w:rsid w:val="00943A77"/>
    <w:rsid w:val="0095150F"/>
    <w:rsid w:val="00965753"/>
    <w:rsid w:val="00977F6F"/>
    <w:rsid w:val="00997EE4"/>
    <w:rsid w:val="009B2473"/>
    <w:rsid w:val="009B3836"/>
    <w:rsid w:val="009C0158"/>
    <w:rsid w:val="009C152B"/>
    <w:rsid w:val="009D6650"/>
    <w:rsid w:val="009F0487"/>
    <w:rsid w:val="00A00805"/>
    <w:rsid w:val="00A1421C"/>
    <w:rsid w:val="00A15FCB"/>
    <w:rsid w:val="00A255C5"/>
    <w:rsid w:val="00A33E1D"/>
    <w:rsid w:val="00A42DC6"/>
    <w:rsid w:val="00A4307B"/>
    <w:rsid w:val="00A446F0"/>
    <w:rsid w:val="00A55C92"/>
    <w:rsid w:val="00A56497"/>
    <w:rsid w:val="00A61322"/>
    <w:rsid w:val="00A974D9"/>
    <w:rsid w:val="00AA0603"/>
    <w:rsid w:val="00AA7348"/>
    <w:rsid w:val="00AB019A"/>
    <w:rsid w:val="00AB57C1"/>
    <w:rsid w:val="00AC04D1"/>
    <w:rsid w:val="00AC7C6B"/>
    <w:rsid w:val="00AC7E6F"/>
    <w:rsid w:val="00AD6587"/>
    <w:rsid w:val="00AD6A00"/>
    <w:rsid w:val="00AE5B74"/>
    <w:rsid w:val="00B00C6E"/>
    <w:rsid w:val="00B03B22"/>
    <w:rsid w:val="00B13E08"/>
    <w:rsid w:val="00B1536C"/>
    <w:rsid w:val="00B245A6"/>
    <w:rsid w:val="00B3043C"/>
    <w:rsid w:val="00B33C2E"/>
    <w:rsid w:val="00B55BD7"/>
    <w:rsid w:val="00B61EDB"/>
    <w:rsid w:val="00B83E85"/>
    <w:rsid w:val="00B869DA"/>
    <w:rsid w:val="00B903D7"/>
    <w:rsid w:val="00B92D10"/>
    <w:rsid w:val="00B94320"/>
    <w:rsid w:val="00BA42C1"/>
    <w:rsid w:val="00BC08C9"/>
    <w:rsid w:val="00BC2A58"/>
    <w:rsid w:val="00BC5BC0"/>
    <w:rsid w:val="00C07AEC"/>
    <w:rsid w:val="00C14042"/>
    <w:rsid w:val="00C25481"/>
    <w:rsid w:val="00C4751D"/>
    <w:rsid w:val="00C5021D"/>
    <w:rsid w:val="00C61323"/>
    <w:rsid w:val="00C81441"/>
    <w:rsid w:val="00C92E7D"/>
    <w:rsid w:val="00CA0AB5"/>
    <w:rsid w:val="00CA26AF"/>
    <w:rsid w:val="00CA62A4"/>
    <w:rsid w:val="00CB7E13"/>
    <w:rsid w:val="00CC10B7"/>
    <w:rsid w:val="00CE341B"/>
    <w:rsid w:val="00CF180F"/>
    <w:rsid w:val="00CF1CA9"/>
    <w:rsid w:val="00CF5443"/>
    <w:rsid w:val="00D00CD2"/>
    <w:rsid w:val="00D16C92"/>
    <w:rsid w:val="00D2388B"/>
    <w:rsid w:val="00D31A9E"/>
    <w:rsid w:val="00D40545"/>
    <w:rsid w:val="00D42608"/>
    <w:rsid w:val="00D45D6B"/>
    <w:rsid w:val="00D6116E"/>
    <w:rsid w:val="00D70DCB"/>
    <w:rsid w:val="00D77A36"/>
    <w:rsid w:val="00D80F22"/>
    <w:rsid w:val="00D908C6"/>
    <w:rsid w:val="00D94DF5"/>
    <w:rsid w:val="00DA37E3"/>
    <w:rsid w:val="00DB23CD"/>
    <w:rsid w:val="00DC3F32"/>
    <w:rsid w:val="00DC663F"/>
    <w:rsid w:val="00DC7822"/>
    <w:rsid w:val="00DD0EDD"/>
    <w:rsid w:val="00DD5257"/>
    <w:rsid w:val="00DD55D0"/>
    <w:rsid w:val="00DE12F1"/>
    <w:rsid w:val="00DF1649"/>
    <w:rsid w:val="00E003F2"/>
    <w:rsid w:val="00E22508"/>
    <w:rsid w:val="00E32BAA"/>
    <w:rsid w:val="00E45159"/>
    <w:rsid w:val="00E47107"/>
    <w:rsid w:val="00E65BFE"/>
    <w:rsid w:val="00E67EA5"/>
    <w:rsid w:val="00E80162"/>
    <w:rsid w:val="00E82636"/>
    <w:rsid w:val="00E910D9"/>
    <w:rsid w:val="00E91603"/>
    <w:rsid w:val="00E9492D"/>
    <w:rsid w:val="00E96C71"/>
    <w:rsid w:val="00EB2BD4"/>
    <w:rsid w:val="00EB34E5"/>
    <w:rsid w:val="00EC0ED2"/>
    <w:rsid w:val="00EC12FA"/>
    <w:rsid w:val="00ED0C89"/>
    <w:rsid w:val="00EE34CB"/>
    <w:rsid w:val="00EE524C"/>
    <w:rsid w:val="00EF2491"/>
    <w:rsid w:val="00EF51F3"/>
    <w:rsid w:val="00EF74E1"/>
    <w:rsid w:val="00F10BA6"/>
    <w:rsid w:val="00F12A73"/>
    <w:rsid w:val="00F33147"/>
    <w:rsid w:val="00F3719D"/>
    <w:rsid w:val="00F40DC7"/>
    <w:rsid w:val="00F440A7"/>
    <w:rsid w:val="00F54B8D"/>
    <w:rsid w:val="00F82F59"/>
    <w:rsid w:val="00FB2BAE"/>
    <w:rsid w:val="00FC1077"/>
    <w:rsid w:val="00FE7E96"/>
    <w:rsid w:val="00FF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E85"/>
    <w:pPr>
      <w:bidi/>
    </w:pPr>
    <w:rPr>
      <w:rFonts w:cs="Simplified Arabic"/>
      <w:sz w:val="32"/>
      <w:szCs w:val="32"/>
    </w:rPr>
  </w:style>
  <w:style w:type="paragraph" w:styleId="Heading1">
    <w:name w:val="heading 1"/>
    <w:basedOn w:val="Normal"/>
    <w:next w:val="Normal"/>
    <w:qFormat/>
    <w:rsid w:val="00B83E85"/>
    <w:pPr>
      <w:keepNext/>
      <w:widowControl w:val="0"/>
      <w:spacing w:before="120"/>
      <w:jc w:val="center"/>
      <w:outlineLvl w:val="0"/>
    </w:pPr>
    <w:rPr>
      <w:rFonts w:cs="Al-Kharashi 7"/>
      <w:sz w:val="44"/>
      <w:szCs w:val="44"/>
    </w:rPr>
  </w:style>
  <w:style w:type="paragraph" w:styleId="Heading2">
    <w:name w:val="heading 2"/>
    <w:basedOn w:val="Normal"/>
    <w:next w:val="Normal"/>
    <w:qFormat/>
    <w:rsid w:val="00B83E85"/>
    <w:pPr>
      <w:keepNext/>
      <w:widowControl w:val="0"/>
      <w:spacing w:before="120"/>
      <w:jc w:val="mediumKashida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83E85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B83E85"/>
    <w:rPr>
      <w:vertAlign w:val="superscript"/>
    </w:rPr>
  </w:style>
  <w:style w:type="paragraph" w:styleId="Footer">
    <w:name w:val="footer"/>
    <w:basedOn w:val="Normal"/>
    <w:link w:val="FooterChar"/>
    <w:uiPriority w:val="99"/>
    <w:rsid w:val="00B83E85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B83E85"/>
  </w:style>
  <w:style w:type="paragraph" w:styleId="Header">
    <w:name w:val="header"/>
    <w:basedOn w:val="Normal"/>
    <w:semiHidden/>
    <w:rsid w:val="00B83E85"/>
    <w:pPr>
      <w:tabs>
        <w:tab w:val="center" w:pos="4153"/>
        <w:tab w:val="right" w:pos="8306"/>
      </w:tabs>
    </w:pPr>
    <w:rPr>
      <w:szCs w:val="38"/>
    </w:rPr>
  </w:style>
  <w:style w:type="character" w:customStyle="1" w:styleId="FootnoteTextChar">
    <w:name w:val="Footnote Text Char"/>
    <w:basedOn w:val="DefaultParagraphFont"/>
    <w:link w:val="FootnoteText"/>
    <w:semiHidden/>
    <w:rsid w:val="00B3043C"/>
    <w:rPr>
      <w:rFonts w:cs="Simplified Arabic"/>
      <w:szCs w:val="24"/>
    </w:rPr>
  </w:style>
  <w:style w:type="paragraph" w:styleId="ListParagraph">
    <w:name w:val="List Paragraph"/>
    <w:basedOn w:val="Normal"/>
    <w:uiPriority w:val="34"/>
    <w:qFormat/>
    <w:rsid w:val="00C61323"/>
    <w:pPr>
      <w:ind w:left="720"/>
      <w:contextualSpacing/>
    </w:pPr>
  </w:style>
  <w:style w:type="character" w:styleId="EndnoteReference">
    <w:name w:val="endnote reference"/>
    <w:basedOn w:val="DefaultParagraphFont"/>
    <w:semiHidden/>
    <w:rsid w:val="00032A19"/>
    <w:rPr>
      <w:rFonts w:cs="Traditional Arabic"/>
      <w:vertAlign w:val="superscript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2442D"/>
    <w:rPr>
      <w:rFonts w:cs="Simplified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58D77-BAE9-4194-B233-139130CE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1881</Words>
  <Characters>10724</Characters>
  <Application>Microsoft Office Word</Application>
  <DocSecurity>0</DocSecurity>
  <Lines>89</Lines>
  <Paragraphs>25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12580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240</cp:revision>
  <dcterms:created xsi:type="dcterms:W3CDTF">2008-06-03T08:41:00Z</dcterms:created>
  <dcterms:modified xsi:type="dcterms:W3CDTF">2009-04-04T15:17:00Z</dcterms:modified>
</cp:coreProperties>
</file>